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20C32">
      <w:pPr>
        <w:tabs>
          <w:tab w:val="left" w:pos="703"/>
          <w:tab w:val="left" w:pos="6676"/>
          <w:tab w:val="left" w:pos="8356"/>
          <w:tab w:val="left" w:pos="9555"/>
        </w:tabs>
        <w:rPr>
          <w:rFonts w:hint="eastAsia" w:ascii="黑体" w:hAnsi="黑体" w:eastAsia="黑体" w:cs="黑体"/>
          <w:color w:val="000000"/>
          <w:sz w:val="32"/>
          <w:szCs w:val="32"/>
        </w:rPr>
      </w:pPr>
      <w:r>
        <w:rPr>
          <w:rFonts w:hint="eastAsia" w:ascii="黑体" w:hAnsi="黑体" w:eastAsia="黑体" w:cs="黑体"/>
          <w:color w:val="000000"/>
          <w:kern w:val="0"/>
          <w:sz w:val="32"/>
          <w:szCs w:val="32"/>
          <w:lang w:bidi="ar"/>
        </w:rPr>
        <w:t>附件</w:t>
      </w:r>
    </w:p>
    <w:p w14:paraId="3D99C330">
      <w:pPr>
        <w:widowControl/>
        <w:jc w:val="center"/>
        <w:textAlignment w:val="center"/>
        <w:rPr>
          <w:rFonts w:hint="eastAsia" w:ascii="方正小标宋简体" w:hAnsi="方正小标宋简体" w:eastAsia="方正小标宋简体" w:cs="方正小标宋简体"/>
          <w:color w:val="000000"/>
          <w:kern w:val="0"/>
          <w:sz w:val="36"/>
          <w:szCs w:val="36"/>
          <w:lang w:bidi="ar"/>
        </w:rPr>
      </w:pPr>
      <w:bookmarkStart w:id="0" w:name="_GoBack"/>
      <w:r>
        <w:rPr>
          <w:rFonts w:hint="eastAsia" w:ascii="方正小标宋简体" w:hAnsi="方正小标宋简体" w:eastAsia="方正小标宋简体" w:cs="方正小标宋简体"/>
          <w:color w:val="000000"/>
          <w:kern w:val="0"/>
          <w:sz w:val="36"/>
          <w:szCs w:val="36"/>
          <w:lang w:bidi="ar"/>
        </w:rPr>
        <w:t>鄄城县绿色低碳高质量发展三年行动计划</w:t>
      </w:r>
    </w:p>
    <w:p w14:paraId="6DE8F812">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（2023-2025年）责任清单</w:t>
      </w:r>
    </w:p>
    <w:bookmarkEnd w:id="0"/>
    <w:tbl>
      <w:tblPr>
        <w:tblStyle w:val="4"/>
        <w:tblW w:w="4898" w:type="pct"/>
        <w:jc w:val="center"/>
        <w:tblLayout w:type="fixed"/>
        <w:tblCellMar>
          <w:top w:w="0" w:type="dxa"/>
          <w:left w:w="108" w:type="dxa"/>
          <w:bottom w:w="0" w:type="dxa"/>
          <w:right w:w="108" w:type="dxa"/>
        </w:tblCellMar>
      </w:tblPr>
      <w:tblGrid>
        <w:gridCol w:w="800"/>
        <w:gridCol w:w="5925"/>
        <w:gridCol w:w="2057"/>
        <w:gridCol w:w="3788"/>
        <w:gridCol w:w="783"/>
      </w:tblGrid>
      <w:tr w14:paraId="6C590197">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50C106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4A2C8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政策事项</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6EF360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牵头部门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6D69F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参与部门</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6515B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完成时限</w:t>
            </w:r>
          </w:p>
        </w:tc>
      </w:tr>
      <w:tr w14:paraId="639AED71">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152DBCDB">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一、聚力工业强县，加快构建现代产业新体系</w:t>
            </w:r>
          </w:p>
        </w:tc>
      </w:tr>
      <w:tr w14:paraId="64C088F0">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7A5AA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3BA0A4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到2025年，新能源新材料产业产值达到418亿元左右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DE6B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93566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全县新能源、新材料产业专班成员单位</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7728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1CC89086">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4467C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97514E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到2025年，生物医药产值达到 30 亿元左右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A3D3A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县经济开发区</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449099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全县生物医药产业专班成员单位</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27BE2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785BAD6F">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28DDB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A9B3B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推进化工产业科技赋能，依托龙头企业，联合国内高校院所组建产学研合作平台，突破一批“卡脖子”技术。深入开展智慧化工园区建设，实施园区封闭化管理，创新采取市场化方式引入第三方服务，搭建园区智能管理平台，打造“产业大脑”，推进“工业互联网+危化安全生产”，提升园区综合管理智能化水平。搭建化工园区建设能源管理中心，推进化工企业以化固碳，开发碳捕集利用与封存、冷能等绿色低碳项目，提高生产工艺和技术装备绿色化水平。持续做好化工产业副产冷能、二氧化碳、废塑料等资源循环利用，探索高碳产业低碳排放、二氧化碳循环利用的新路子。推行化工园区“管行业、管环保”的“管家”模式，完善园区环境质量和污染物监测监控体系，从源头促进排放物“减量化”。</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D2C28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5E3C1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县经济开发区、市生态环境局鄄城县分局、县发展和改革局、县科学技术局、县自然资源和规划局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F9AA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2140FDB1">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592E4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48545C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施智能家居产业链条构建工程，依托万华产业园等专业化园区，大力引进有发展前景的科技型、创新型的智能家居优质企业，推进木材加工企业与智能家居、家装产业衔接配套，构建集秸秆刨花板、板材饰面、智能家居、智能家装制造一体化产业集群，到2025年，初步形成集智能家居、智能家装于一体的现代智能家居集群，产值达到20亿元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A68E30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县自然资源和规划局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4B4B41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县发展和改革局、县人力资源和社会保障局、县工业和信息局、引马镇、红船镇</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009DF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3FF29C0E">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5C13DF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1C1F17A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设一批中药材规范化绿色生产示范村和产业示范乡镇。提升中药材全产业链质量安全水平，规范应用“三品一标”，开展鄄城道地药材认证，推动符合条件的新型经营主体取得相应认证，选育一批道地性强、药效明显、质量稳定的新品种，加强中药材“绿色、有机、地理标志”产品申报认证，培育打造中药材域品牌和地理标志产品。规范交易市场运行，对舜王城中药材市场进行功能分工和改造提升，推动建设仓储管理与专业养护、质量检验与流通追溯、初加工与包装服务和电商交易与物流配送等配套功能，增强“互联网+中药产业+金融服务+现代物流”服务模式，提升“线下体验、线上交易”能力。</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1FFFD3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中药材管委会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ABEF2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县大数据局、县交通运输局、县招商服务中心</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2619F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2BFD8515">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99857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93DA2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快发制品产品结构调整，鼓励发制品企业组建国内市场产品研发团队，以现代艺术研发生产适合国内市场的发制品产品，加快从初加工产品向深加工产品转变、从中低档产品为主向高中低相结合并突出高端产品转变。力争到2025年，发制品产业实现产值55.5亿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0994E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县商务局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DD3BE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县工业和信息局、县经济开发区</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FF2E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BC006E8">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F0617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E5ABF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拓展农产品初加工类型，发挥鄄城县农业大县优势，鼓励和支持农民合作社、家庭农场、基地和种养殖大户拓展产地初加工，引导农产品初加工企业拓展初加工类型，推动农产品由卖“原字号”向“制成品”转变。到2025年，以肉鸭产业为主的食品加工业产值达到40亿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A3218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DDC143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自然资源和规划局、畜牧服务中心、水产服务中心</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F5D0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2AA71C8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D676E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4E5BD0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力推进企业智慧化转型，鼓励采用工业互联网、大数据等新技术，开展技术改造、“机器换人”，建设智能工厂（车间），发展柔性制造、小批量个性化定制等新模式，加强综合性和垂直性电商平台建设，加快培育网上销售、直播带货、场景体验等新零售业态，构建全渠道营销体系。推动绿色化发展，以绿色原料、绿色设计、绿色生产等为切入点，推广绿色技术及工艺装备，推行绿色纤维材料、绿色面料等产品设计开发，建设绿色纺织工厂。到2025年，纺织服装业产值达到32.5亿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65CF4A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35DF0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县发展和改革局、县经济开发区</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474A4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2F9E6F50">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A1AE17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402FC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挥“一区四园”主阵地作用，推动“开发区管委会+公司”深度融合、双向赋能，全面提升化工园区、万华产业园、医疗器械产业园、益客产业园等重点园区承载能力和运营招商水平，打造一批主业突出、资源共享、优势互补的专业“园中园”。紧抓东西协作机遇，深化与高密经济开发区交流合作，尽快落地产业转移项目。推动开发区亩均投资、亩均效益再提升，一企一策清理“僵尸企业”，力争综合评价在全省争先进位。</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FDF2B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经济开发区</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3ECADB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768DF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0F665EC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4BE1E6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419E1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培育壮大重点企业。大力支持睿鹰制药、龙蟠科技、阳成生物、万华生态新家装、益客食品等企业延链强链、膨胀规模、加速成长。力争到2025年，实现产值过亿元工业企业40家左右。发挥龙头企业信息灵敏、资源充足、联系广泛的优势，推动中小企业差异定位、协同发展、串点成链，形成以大带小、以小托大发展模式，构建龙头企业引领、骨干企业带动、中小企业支撑的企业发展新局面。</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467EF8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3B2655E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县发展和改革局、县科学技术局、县经济开发区、县市场监管局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11AE3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1EA01884">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F2A12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E8824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强产业创新平台建设。依托睿鹰制药集团，建设运营好山东生物医药（鄄城）科创中心，加快共享实验室、注册项目报批中心、产业孵化中心、P3超级细菌实验室建设，加快建成生物医药科创孵化高地。实施“一企一平台”工程，支持规模以上企业建设重点实验室、工程研究中心、企业技术中心等创新平台。力争到2025年，争创省级创新平台13个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6644D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县科学技术局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FFFDCA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县发展和改革局、县工业和信息局、县委组织部、县人力资源和社会保障局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FDFA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26318BE6">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518B2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C9159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力培育科技创新企业。实施“专精特新”企业培育工程，大力培育“种子”“幼苗”。到2025年，省级“专精特新”企业达到35家左右。鼓励引导企业发挥创新主体作用，通过政策引导、扶持奖励等多种形式，激发科技型中小企业创新活力。到2025年，高新技术企业达到45家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BA3D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县工业和信息局、县科学技术</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3AE7D5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12AFE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59765C69">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149DD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432A33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到2025年，新增授权发明专利300项左右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B1A9A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县市场监管局、县科学技术局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65473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县委组织部、县中药材管委会、县经济开发区、县自然资源和规划局、县发展和改革局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9E2D42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6C25482D">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24AF439C">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二、推动城镇化进程，统筹城乡融合发展</w:t>
            </w:r>
          </w:p>
        </w:tc>
      </w:tr>
      <w:tr w14:paraId="576357A4">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700AE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D57EA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稳步推进城区开发建设。充分发挥各片区城建指挥部作用，加快天润府二期、源润华府、金辰御府、云山·黄河印、城市之光等小区建设进度；盘活三完小片区、煤建片区；完成天润公馆、大赵庄、老县委县政府片区等回迁安置房建设。用好“保交楼”政策，加快推进江南学府、时代馨苑等纾困项目建设。推进一批老旧小区改造，持续改善居住环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9251D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县房产服务中心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DBECA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各片区指挥部</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7682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3298E5A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DDDE3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4EF95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全完善公共配套设施。完善舜王路、凤凰路、伏羲路等10公里左右的道路相关配套管网建设，打通潍坊路（金山街-长江大街）、颖水街（古泉路-孙膑路）等断头路。整合组建集中供暖公司，到2025年新增城区供热面积100万平方米左右。实施110千伏玺月输变电工程，新建110千伏变电站1座、供电线路7.31公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F0091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住房和城乡建设局、县综合行政执法局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B753A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A0B16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449FC1F0">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492C0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14E7D3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强化道路基础设施建设。修复改造城区黄河街、人民街、尧王路等损毁路面。加快推进金堤路（东段及西段）、引阎路、旅游路改造，建成沙河路。实施S319临鄄路东段中修工程，做好鄄巨路西延至董口黄河大桥、G240城区段东移两条新修国省道的争取工作。加快鄄郓高速公路土方工程建设，推动董口黄河大桥、旧城黄河大桥主桥尽快完工。</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F7D41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县住房和城乡建设局、县交通运输局、县公路服务中心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955533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各相关镇街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66BA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40CBA8BE">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37942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FD4AD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提标改造第一污水处理厂，出水水质达到准四类标准。加强城区主干道路绿化改造，打造道路两侧绿色屏障。到2025年，新增城区绿化15万平方米左右、健康绿道5公里，提升改造街头公园5处。</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4AE8F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综合行政执法局、县住房和城乡建设局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6F4031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B9E16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70E983C2">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AA030A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004CD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到2025年，新建充电桩390个，配备停车位390个；完成智慧路灯升级改造5000基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567BB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县工业和信息局、县综合行政执法局、县发展和改革局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6FCDD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县住房和城乡建设局、供电公司、移动公司、联通公司</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C6297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446A0EEF">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ADC691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1841EC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搭建智慧城市管理平台。整合共享城市管理相关部门数据资源，拓展统筹协调、指挥调度、监督考核、综合评价和公共服务等功能，构建智慧交通、电子政务、智慧环境、智慧医疗、智慧社区五大平台体系</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45C451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县大数据局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3993C7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5AD32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02275929">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499D4D5">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三、加快农业农村现代化，全力推进乡村振兴</w:t>
            </w:r>
          </w:p>
        </w:tc>
      </w:tr>
      <w:tr w14:paraId="6E24DAF2">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860AF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39411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加快高标准农田扩面提质，逐步把永久基本农田全部建成高标准农田。到2025年，累计建成高标准农田9万亩</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05FAB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县自然资源和规划局、县农业农村局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28CA55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31615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5C28CCF0">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C429B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114E1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巩固提升粮食产能。深入实施“藏粮于地、藏粮于技”战略，持续提升农业机械化作业水平，确保粮食产能总体稳定。到2025年，粮食综合产能稳定在15 亿斤以上，主要农作物综合机械化率提高2.5个百分点。</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4441B6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县农业农村局、农机服务中心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FB2C8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83770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1BBF82AD">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329E9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DC621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培育发展特色产业。做好“土特产”文章，积极发展中药材、毛木耳等“一镇一业”“一村一品”富民产业，到2025年，培育省级乡土产业名品村50个。推进畜禽养殖绿色发展，到2025年，年出栏生猪20万头左右、肉鸭3000万只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9CD0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792E4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县畜牧服务中心、乡村振兴局、县中药材管委会、各镇街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D0EC0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2DC81A98">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7F1C14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E489D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到2025年，农林牧副渔业增加值达到34亿元。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3692A3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县农业农村局、中药材管委会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3A4E35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畜牧服务中心、水产服务中心、县自然资源和规划局、县文化和旅游局、县统计局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3B17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6AFA3705">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C9B63E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14FD20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发展壮大现代经营主体。开展农民合作社规范提升行动，培育专业大户、家庭农场、农民合作社、农业产业化龙头企业等新型农业经营主体。到2025年，培育20家大型农业产业化龙头企业。</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96B232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86B55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县市场监管局、县发展和改革局、县财政局、县税务局、县水务局、县自然资源和规划局、县审批局、县供销联合社、中国人民银行鄄城县分行</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02DF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B16982E">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5B4A6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983F8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到2025年，农作物秸秆综合利用率达到94.1%，畜禽粪污综合利用率达到90%以上，农膜回收率达到84.7%。</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15E6F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县农业农村局、县畜牧服务中心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EBF0D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市生态环境局鄄城县分局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D34F27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1D881B2">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3ADF0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EB75D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积极开展“三品一标”产品认证，到2025年，农业“三品一标”数量达到150个。</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15752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县市场监管局、县农业农村局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B6C44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4C61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3445770C">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AD0CD6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D8919C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施配农网改造提升工程，新建10千伏线路100公里左右、配电变压器160台，改造老旧和“卡脖子”线路330公里。新改建农村公路370公里左右，实施农村公路安全生命防护工程300公里，完成路网改善养护2000公里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3C2B8E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县发展和改革局、县综合行政执法局、县交通运输局、县水务局、供电服务中心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650C4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县自然资源和规划局、各镇街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8209F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16D2D9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7E9A24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C2F19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新增省级美丽乡村示范村8个，生活污水处理实现所有村全覆盖。持续抓好衔接乡村振兴集中推进区建设，到2025年，创建17个乡村振兴示范片区，探索形成一批产业优势明显、生态环境优美、基础配套健全的乡村振兴先行区、示范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BBAB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县住房和城乡建设局、市生态环境局鄄城县分局、县农业农村局（乡村振兴局）、县综合行政执法局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17119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5059D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37EA6A18">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7499B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CB8B4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培育壮大特色扶贫产业，争取80%以上的就业帮扶车间注册为小微企业。多方盘活宅基地、承包地等各类闲置资源，规范农村集体“三资”管理，千方百计增加集体收益和农民收入，到2025年，90%以上的行政村集体收入超10万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7BAFEF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县委组织部、县农业农村局（县乡村振兴局）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4FF50A7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自然资源和规划局、各镇街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494C5D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642C2FBF">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164BE592">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四、坚定绿色发展理念，提升可持续发展水平</w:t>
            </w:r>
          </w:p>
        </w:tc>
      </w:tr>
      <w:tr w14:paraId="3B2CFEE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EAAD6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F1166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展水效领跑者引领行动,推广应用高效节水设备、工艺和技术，加强重点监控用水单位监督管理，建设节水型企业，着力提高工业企业节水效益。到2025年，万元地区生产总值用水量、万元工业增加值用水量分别比2020年分别下降27%、10%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795CD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县水务局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C8EC7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县发展和改革局、县工业和信息局、县住房和城乡建设局、县农业农村局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E2EE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091D5759">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174E00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41D275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面推进建筑行业绿色化改造，鼓励采用装配式建筑、绿色建材及建筑工程方面新技术，提升绿色建筑比例。到2025年，万元地区生产总值能耗量、万元工业增加值能耗量分别比2020年分别下降19.4%、17%。</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B01E3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县发展和改革局、县工业和信息化局、县住房和城乡建设局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0788F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11700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4D3E63EB">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A8E8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6A09C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培育发展循环经济。推行绿色生产，加快开发区绿色循环化改造，积极利用新技术提升改造食品加工、生物医药、精细化工、智能家居等产业，推广应用先进、适用的清洁生产技术和装备，推进原材料减量化、能源梯级利用、水资源循环利用、废弃物资源化处理。大力发展节能环保产业，依托长青生物质等企业，做大做强生活垃圾焚烧发电等资源循环利用产业项目。</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67FD7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经济开发区、县水务局、市生态环境局鄄城县分局、县工业和信息化局、县综合行政执法局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2E6EF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县农业农村局、畜牧服务中心</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39FD1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55F36DA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84985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2D3B9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强大气污染防治。严格工业废气、工地扬尘、餐饮油烟等管控治理，推广清洁生产模式，提高企业清洁生产水平；持续开展重型车辆路检路查、施工工地扬尘治理、烟花爆竹管控等攻坚行动，抓好秸秆禁烧和重污染天气应对，确保空气质量持续改善。到2025年，细颗粒物（PM2.5）浓度达到46微克/立方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F647B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市生态环境局鄄城县分局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C8D00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发展和改革局、县工业和信息化局、县市场监管局、县住房城乡建设局、县交通运输局、县农业农村局、县综合行政执法局、县公安局、各镇街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D5BDA3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123953DC">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66F53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3B43A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强化水体污染治理。全面加强坑塘、黑臭水体、重点河流整治，确保城区污水动态清零。深入推进农村生活污水治理，建立镇村污水处理站运维长效机制，确保出境断面水质稳定达标。到2025年，地表水省控断面优良水体比例达到100%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F42C1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县住房城乡建设局、市生态环境局鄄城县分局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14676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ADBAB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976C4F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34088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376CE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抓好农村面源污染治理。推广测土配方施肥、农药减量增效、地膜回收等新技术，持续推进化肥农药减量化，全面开展畜禽粪污资源化利用，切实改善土壤质量。健全完善土壤污染监测评估体系，增加土壤环境质量监测点位，完善国家土壤环境质量监测网络，提升土壤环境监测能力</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3F36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县农业农村局、市生态环境局鄄城县分局、畜牧服务中心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7FD19D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6D2A6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706EBDBE">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500587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96CF6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着力创建“无废城市”。加强固废收集、运输和处置设施建设，健全完善城乡生活垃圾一体化收运处置体系。依托圣元环保等企业，积极发展可回收物循环化、厨余垃圾资源化、有害垃圾安全化分类处理模式，促进垃圾全分类、资源全回收、原生垃圾零填埋。建立危险废物重点单位清单及动态更新清单，做好危险废物收集处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6F930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市生态环境局鄄城县分局、县综合行政执法局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2F47DF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C2526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33AFBEF4">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512191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7C2D2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全完善环保基础设施。加大城乡污水、垃圾、烟粉尘、废弃物处理设施建设力度，确保环保设施建设与城市建设、产业发展同步或适度超前。强化危险废物处置监管，积极运用自感知技术、5G技术等新技术，实现对大气、水、辐射、生态等多要素监测的全覆盖，持续提升环境保护水平和监管效能。</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A4E6C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市生态环境局鄄城县分局、县综合行政执法局、县住房和城乡建设局、县应急管理局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4130C4E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D8601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0BAF5805">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4FEBAB2">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五、持续推进民生改善，共建共享美好生活</w:t>
            </w:r>
          </w:p>
        </w:tc>
      </w:tr>
      <w:tr w14:paraId="660D42B1">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9A5052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39CFB3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到2025年，居民人均可支配收入年均增长5.2%左右。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74EF9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县民政局、县人力资源和社会保障局、国家统计局调查队</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1FF0E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A5F96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55D19EC5">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709378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501B2E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坚持就业优先，健全就业服务体系，拓宽市场就业、公共部门就业、自主就业、基层就业等渠道，统筹开展线上线下招聘，鼓励发展灵活就业和新就业形态，持续推进城乡公益性岗位扩容提质。到2025年，累计城镇新增就业1.7万人左右。</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472F5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县人力资源和社会保障局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995D5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4E14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2025年底</w:t>
            </w:r>
          </w:p>
        </w:tc>
      </w:tr>
      <w:tr w14:paraId="09BC1470">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31219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31B32A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加大城区中小学学位供给。到2025年，完成新改扩建中小学6所。</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D3C2E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县教育和体育局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0C73E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县发展和改革局、县财政局、县自然资源和规划局、县审批局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AD5C8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363BFA2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CD4798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4BFBB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推动职业技术教育提质发展。加快菏泽生物职业学院项目建设，力争早建成、早使用、早招生。鼓励职业院校紧密对接鄄城主导产业，引入知名高校、企业共建二级学院、产业研究院和人才培养基地，统筹推进校企、产教深度融合。</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667F7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县教育和体育局、县人力资源和社会保障局、县住房和城乡建设局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AFF0B8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县自然资源和规划局、恒育公司</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21596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753BD51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D8F58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230FB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推动学习型社会建设。面向企业职工和农民开展多类型、多形式的继续教育培训。探索职业教育产教融合行动，开展学历教育、技术推广、劳动力转移培训和社会生活教育，到2025年，初步形成成人高等学历教育、职业技能培训和社区教育于一体的全民终身学习教育体系。</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D24357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县教育和体育局、县人力资源和社会保障局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3D7DD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5FB4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76B13B39">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D4D83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DE9B5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入实施文明创建工程。深入开展群众性精神文明创建，深化文明城市、文明村镇、文明单位、文明家庭、文明校园创建。实施时代新人培育工程、“四德工程”，持续组织好道德模范和“山东好人”“好媳妇”“好婆婆”“最美退役军人”等推荐评选活动。深化拓展建设新时代文明实践中心（所、站），打造新时代文明实践特色展示带。</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7AEC8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县委宣传部、文明办、退役军人事务局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684B62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县教育和体育局、妇联、各镇街等相关部门</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A1C76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489362CD">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1D7BB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3ED8A0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积极推动文化体验廊道重点项目建设，改造提升鲁锦博物馆、黄河滩区迁建博物馆，打造一批以黄河文化为主题的研学路线和研学产品。开展黄河题材的小剧小戏小品剧本创作，开展沿黄传统工艺创新创意品牌推广，融入非遗文化，大力发展鲁锦、羊毛编织等特色文旅产业。</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7A44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县文化和旅游局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2A2811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县河务局、县发展和改革局、左营、李进士堂、旧城、董口、临濮</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C68A3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726AF1B4">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AAAC72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E9D57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完善公共文化服务体系。提高提升县图书馆、文化馆、博物馆等公共文化设施服务能力。实施镇街综合文化站、村文化服务中心提升工程，满足群众就近参与文化活动的需要。积极开展“送戏下乡”“送电影下乡”活动，持续办好黄河大集民俗展示、非遗展演、乡村好时节等品牌活动，打造文旅消费品牌。每年各类文化惠民活动不少于5000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6BE4B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县文化和旅游局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4A95F5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248D17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69C74815">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8CDF9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0ABB5C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健全医疗基础设施。尽快启动中医院新院区建设。推进县医院传染病综合楼、二院新院区等项目建设，争取尽快建成使用。提升镇卫生院服务能力，每个镇办好1 所由政府主办的标准化镇卫生院，建设1-2 个特色专科。加快基层医疗机构标准化建设步伐，完成17处镇街卫生院提升改造任务，到2025年，争创国家推荐标准卫生院5处、省级示范卫生室15处。</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0BD30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县卫生健康局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3691D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中医院、县医院、二院、各镇街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3193F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0FFAA3CA">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3DC8E6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FE29BD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全公共卫生应急体系。实施县疾控中心提升工程，推动建设县级疾控机构生物安全二级实验室，完善传染病疫情和突发公共卫生事件监测系统，提高实时分析、集中研判能力。提升老年人、妇女、儿童、慢性病患者等重点人群管理服务质量，免费开展新生儿48种遗传代谢病筛查。</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A092A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县卫生健康局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8DEB8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C1D4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4675BDA1">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22D2B8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75A191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提高全民健康水平。推动以治病为中心向以健康为中心转变，聚焦重点人群，深入实施健康知识普及、合理膳食、控制吸烟、促进心理健康等行动，有效预防重大疾病。继续做好重点传染病、地方病、职业病及精神疾病防控工作，全力推动健康教育攻坚行动。到2025年，全县人均期望寿命达到78岁。</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D4C51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县卫生健康局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129761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134A3A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4C8B972C">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2C650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912E2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全社会保障体系。深入实施全民参保计划，持续扩大全民参保覆盖面，做好全民参保数据动态精准管控。到2025年，全民社保覆盖率达到92%。深入推进基层医保便民服务体系建设，建立15分钟医保服务圈，实现可视化医保便民服务站镇街全覆盖。</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FAC62D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县医保局、县人力资源和社会保障局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DD726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3D721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64B31C4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2C3F6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0B642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到2025年，完成改造1000户左右，新建“如康家园”7处，新增养老床位200张以上。进一步提高城乡低保、特困人员等9类困难群众生活救助标准。加强救助中心建设，高标准推进县残疾人综合服务中心建成运营。</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0565B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县民政局、残联</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055AE0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35A4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2025年年底</w:t>
            </w:r>
          </w:p>
        </w:tc>
      </w:tr>
      <w:tr w14:paraId="6502A405">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547C9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FC8FF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切实抓实抓好安全生产。坚决落实“八抓二十项”安全生产创新措施，统筹推进危险化学品、城镇燃气、道路运输、老旧建筑、自建房、消防等重点领域排查整治，建立健全联管联处机制，严防各类安全生产事故发生。全力做好防汛抗旱工作，健全完善应急预案和响应机制，提高应对自然灾害能力。加强食品、药品、农产品安全质量监管，落实“四个最严”要求，全力守护人民群众“舌尖上的安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6EDA9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县应急管理局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7357C5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相关成员单位，各镇街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240CBB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3539DAB2">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DC750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23DA0F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面提升治理水平。畅通群众诉求表达、利益协调、权益保护通道，推动矛盾纠纷多元化解机制建设。全面加强意识形态等重点领域风险防范，坚决守住不发生区域风险的底线。常态化开展扫黑除恶，深化“雪亮工程”建设，严厉打击新型网络犯罪，持续净化社会治安环境。</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E6E76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县委政法委、县委宣传部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25FE83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相关成员单位，县公安局、县信访局、县民政局、县司法局、各镇街</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B98C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47277567">
        <w:tblPrEx>
          <w:tblCellMar>
            <w:top w:w="0" w:type="dxa"/>
            <w:left w:w="108" w:type="dxa"/>
            <w:bottom w:w="0" w:type="dxa"/>
            <w:right w:w="108"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527120A">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六、保障措施</w:t>
            </w:r>
          </w:p>
        </w:tc>
      </w:tr>
      <w:tr w14:paraId="2F1CD5AC">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F1F45E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7522F8A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成立鄄城县绿色低碳高质量发展领导小组，由县委书记、县长担任双组长，多名县委常委及副县长担任副组长，县委、县政府有关部门及园区主要负责人为小组成员，全面统筹研究重大政策、重大工程、重大改革等事项，协调解决重大问题。领导小组办公室设在县发展和改革局，负责协调落实领导小组决定事项和绿色低碳高质量发展推进的日常工作。</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F8ADED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3DEFCA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小组成员单位</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621E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13E371D8">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163F2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6BD09C1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行专班机制，抽调相关责任部门有关人员，组建工作专班，专职推进绿色低碳高质量发展有关工作。由专班建立绿色低碳高质量发展工作台账，定期调度工作推进情况，及时发现新问题，分析新形势，并向有关领导及部门反馈，推动共同会商解决，确定下步工作计划及推进措施。明确任务分工，由工作专班分解落实发展目标、重点任务和政策措施，明确牵头部门和工作责任。各级各部门健全完善本级本领域的具体工作机制，细化本地区本领域贯彻落实本方案的实施计划和年度工作，明确措施、责任、期限，实行专人负责，确保各项目标和任务落到实处。</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480BF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25A79E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小组成员单位</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97BAE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08C87F3F">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90F84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5B7C52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争取国家资金帮扶，重点支持产业技术改造、产学研合作及成果转化、业态模式创新、“专精特新”市场主体和品牌培育，以及能源资源高效利用、乡村设施补短板等项目建设。积极争取国家和省、市资金支持。持续监测鄄城县银行业绿色信贷情况，督促县内银行业金融机构加大对绿色低碳高质量发展领域的信贷支持规模。支持符合条件的企业发行绿色债券、碳中和债券、绿色资产证券化产品。做好绿色产业上市后备企业培育和服务工作，支持相关企业发行上市。强化土地利用保障，编制土地利用年度计划时，预留年度土地利用指标，优先用于保障绿色低碳高质量发展试点项目的用地需求。积极通过回购土地、置换厂房等方式腾出厂房和土地，扶持科技含量高、低能耗高效益的优势企业和项目。</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B701B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县发展和改革局、县工业和信息局、县财政局、县金融服务中心、县科学技术局、县市场监管局、县农业农村局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43BEAA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BCD7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43CB332F">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5153A8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159C16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立发改、统计部门与有关行业（领域）主管部门之间的对接交流、会商分析机制，定期评估主要指标和重点任务、政策措施和重大项目的推进实施情况。强化重点企业调度监测服务，及时了解掌握企业生产经营情况，协调解决企业遇到的具体困难和问题。加强全过程全方位监督检查，将绿色低碳高质量发展情况纳入全县高质量发展综合绩效考核范畴，形成监测、评估、督查、考核闭环工作链条。用好用活督查考核结果，对各镇街、行业部门（专班）开展差异化考核，对推动力度大、成效明显的给予表扬奖励，对工作中表现突出、成效卓越的干部优先提拔使用或晋升职级。</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45888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县发展和改革局</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48552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小组成员单位</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AEF65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r w14:paraId="042C7927">
        <w:tblPrEx>
          <w:tblCellMar>
            <w:top w:w="0" w:type="dxa"/>
            <w:left w:w="108" w:type="dxa"/>
            <w:bottom w:w="0" w:type="dxa"/>
            <w:right w:w="108" w:type="dxa"/>
          </w:tblCellMar>
        </w:tblPrEx>
        <w:trPr>
          <w:cantSplit/>
          <w:trHeight w:val="23"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8FD0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218" w:type="pct"/>
            <w:tcBorders>
              <w:top w:val="single" w:color="000000" w:sz="4" w:space="0"/>
              <w:left w:val="single" w:color="000000" w:sz="4" w:space="0"/>
              <w:bottom w:val="single" w:color="000000" w:sz="4" w:space="0"/>
              <w:right w:val="single" w:color="000000" w:sz="4" w:space="0"/>
            </w:tcBorders>
            <w:noWrap w:val="0"/>
            <w:vAlign w:val="center"/>
          </w:tcPr>
          <w:p w14:paraId="4ABE13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重发现和总结典型，及时推广好经验、好做法。充分利用电视、报纸、网络媒体、手机APP等各类媒介，广泛宣传鄄城县推动绿色低碳高质量发展的政策措施、经验做法、工作成效、先进典型，全面展现鄄城县实现高质量发展的新境界、新气象、新标识。充分调动各方智慧和力量，用好高校、企业、科研院所、智库平台等智力资源，努力形成人人关心、人人参与的良好氛围。</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9269C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县委宣传部、融媒服务中心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14:paraId="564AEB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2550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持续推进</w:t>
            </w:r>
          </w:p>
        </w:tc>
      </w:tr>
    </w:tbl>
    <w:p w14:paraId="684318DF">
      <w:pPr>
        <w:spacing w:line="560" w:lineRule="exact"/>
        <w:sectPr>
          <w:footerReference r:id="rId3" w:type="default"/>
          <w:footerReference r:id="rId4" w:type="even"/>
          <w:pgSz w:w="16838" w:h="11906" w:orient="landscape"/>
          <w:pgMar w:top="1474" w:right="1440" w:bottom="1474" w:left="1984" w:header="851" w:footer="992" w:gutter="0"/>
          <w:pgNumType w:fmt="decimal" w:start="29"/>
          <w:cols w:space="720" w:num="1"/>
          <w:rtlGutter w:val="0"/>
          <w:docGrid w:type="lines" w:linePitch="319" w:charSpace="0"/>
        </w:sectPr>
      </w:pPr>
    </w:p>
    <w:p w14:paraId="58FD68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414B">
    <w:pPr>
      <w:widowControl w:val="0"/>
      <w:tabs>
        <w:tab w:val="center" w:pos="4153"/>
        <w:tab w:val="right" w:pos="8306"/>
      </w:tabs>
      <w:snapToGrid w:val="0"/>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ge">
                <wp:posOffset>5436235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88017">
                          <w:pPr>
                            <w:keepNext w:val="0"/>
                            <w:keepLines w:val="0"/>
                            <w:pageBreakBefore w:val="0"/>
                            <w:widowControl w:val="0"/>
                            <w:tabs>
                              <w:tab w:val="center" w:pos="4153"/>
                              <w:tab w:val="right" w:pos="8306"/>
                            </w:tabs>
                            <w:kinsoku/>
                            <w:wordWrap/>
                            <w:overflowPunct/>
                            <w:topLinePunct w:val="0"/>
                            <w:bidi w:val="0"/>
                            <w:adjustRightInd/>
                            <w:snapToGrid w:val="0"/>
                            <w:ind w:left="320" w:leftChars="100" w:right="320" w:rightChars="100"/>
                            <w:jc w:val="left"/>
                            <w:textAlignment w:val="auto"/>
                            <w:rPr>
                              <w:rFonts w:ascii="宋体" w:hAnsi="宋体" w:eastAsia="宋体" w:cs="宋体"/>
                              <w:kern w:val="0"/>
                              <w:sz w:val="24"/>
                              <w:szCs w:val="24"/>
                              <w:lang w:val="en-US" w:eastAsia="zh-CN" w:bidi="ar-SA"/>
                            </w:rPr>
                          </w:pPr>
                          <w:r>
                            <w:rPr>
                              <w:rFonts w:ascii="宋体" w:hAnsi="宋体" w:eastAsia="宋体" w:cs="宋体"/>
                              <w:kern w:val="0"/>
                              <w:sz w:val="28"/>
                              <w:szCs w:val="24"/>
                              <w:lang w:val="en-US" w:eastAsia="zh-CN" w:bidi="ar-SA"/>
                            </w:rPr>
                            <w:t xml:space="preserve">— </w:t>
                          </w:r>
                          <w:r>
                            <w:rPr>
                              <w:rFonts w:ascii="宋体" w:hAnsi="宋体" w:eastAsia="宋体" w:cs="宋体"/>
                              <w:kern w:val="0"/>
                              <w:sz w:val="28"/>
                              <w:szCs w:val="24"/>
                              <w:lang w:val="en-US" w:eastAsia="zh-CN" w:bidi="ar-SA"/>
                            </w:rPr>
                            <w:fldChar w:fldCharType="begin"/>
                          </w:r>
                          <w:r>
                            <w:rPr>
                              <w:rFonts w:ascii="宋体" w:hAnsi="宋体" w:eastAsia="宋体" w:cs="宋体"/>
                              <w:kern w:val="0"/>
                              <w:sz w:val="28"/>
                              <w:szCs w:val="24"/>
                              <w:lang w:val="en-US" w:eastAsia="zh-CN" w:bidi="ar-SA"/>
                            </w:rPr>
                            <w:instrText xml:space="preserve"> PAGE  \* MERGEFORMAT </w:instrText>
                          </w:r>
                          <w:r>
                            <w:rPr>
                              <w:rFonts w:ascii="宋体" w:hAnsi="宋体" w:eastAsia="宋体" w:cs="宋体"/>
                              <w:kern w:val="0"/>
                              <w:sz w:val="28"/>
                              <w:szCs w:val="24"/>
                              <w:lang w:val="en-US" w:eastAsia="zh-CN" w:bidi="ar-SA"/>
                            </w:rPr>
                            <w:fldChar w:fldCharType="separate"/>
                          </w:r>
                          <w:r>
                            <w:rPr>
                              <w:rFonts w:ascii="宋体" w:hAnsi="宋体" w:eastAsia="宋体" w:cs="宋体"/>
                              <w:kern w:val="0"/>
                              <w:sz w:val="28"/>
                              <w:szCs w:val="24"/>
                              <w:lang w:val="en-US" w:eastAsia="zh-CN" w:bidi="ar-SA"/>
                            </w:rPr>
                            <w:t>29</w:t>
                          </w:r>
                          <w:r>
                            <w:rPr>
                              <w:rFonts w:ascii="宋体" w:hAnsi="宋体" w:eastAsia="宋体" w:cs="宋体"/>
                              <w:kern w:val="0"/>
                              <w:sz w:val="28"/>
                              <w:szCs w:val="24"/>
                              <w:lang w:val="en-US" w:eastAsia="zh-CN" w:bidi="ar-SA"/>
                            </w:rPr>
                            <w:fldChar w:fldCharType="end"/>
                          </w:r>
                          <w:r>
                            <w:rPr>
                              <w:rFonts w:ascii="宋体" w:hAnsi="宋体" w:eastAsia="宋体" w:cs="宋体"/>
                              <w:kern w:val="0"/>
                              <w:sz w:val="28"/>
                              <w:szCs w:val="24"/>
                              <w:lang w:val="en-US" w:eastAsia="zh-CN" w:bidi="ar-SA"/>
                            </w:rPr>
                            <w:t xml:space="preserve"> —</w:t>
                          </w:r>
                        </w:p>
                      </w:txbxContent>
                    </wps:txbx>
                    <wps:bodyPr vert="vert" wrap="none" lIns="0" tIns="0" rIns="0" bIns="0" upright="0">
                      <a:spAutoFit/>
                    </wps:bodyPr>
                  </wps:wsp>
                </a:graphicData>
              </a:graphic>
            </wp:anchor>
          </w:drawing>
        </mc:Choice>
        <mc:Fallback>
          <w:pict>
            <v:shape id="_x0000_s1026" o:spid="_x0000_s1026" o:spt="202" type="#_x0000_t202" style="position:absolute;left:0pt;margin-left:70.85pt;margin-top:428.05pt;height:144pt;width:144pt;mso-position-horizontal-relative:page;mso-position-vertical-relative:page;mso-wrap-style:none;z-index:251659264;mso-width-relative:page;mso-height-relative:page;" filled="f" stroked="f" coordsize="21600,21600" o:gfxdata="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JKr2QAAAAwBAAAPAAAAAAAAAAEAIAAAACIA&#10;AABkcnMvZG93bnJldi54bWxQSwECFAAUAAAACACHTuJA0mkG5s8BAAClAwAADgAAAAAAAAABACAA&#10;AAAoAQAAZHJzL2Uyb0RvYy54bWxQSwUGAAAAAAYABgBZAQAAaQUAAAAA&#10;">
              <v:path/>
              <v:fill on="f" focussize="0,0"/>
              <v:stroke on="f"/>
              <v:imagedata o:title=""/>
              <o:lock v:ext="edit" aspectratio="f"/>
              <v:textbox inset="0mm,0mm,0mm,0mm" style="layout-flow:vertical;mso-fit-shape-to-text:t;">
                <w:txbxContent>
                  <w:p w14:paraId="52088017">
                    <w:pPr>
                      <w:keepNext w:val="0"/>
                      <w:keepLines w:val="0"/>
                      <w:pageBreakBefore w:val="0"/>
                      <w:widowControl w:val="0"/>
                      <w:tabs>
                        <w:tab w:val="center" w:pos="4153"/>
                        <w:tab w:val="right" w:pos="8306"/>
                      </w:tabs>
                      <w:kinsoku/>
                      <w:wordWrap/>
                      <w:overflowPunct/>
                      <w:topLinePunct w:val="0"/>
                      <w:bidi w:val="0"/>
                      <w:adjustRightInd/>
                      <w:snapToGrid w:val="0"/>
                      <w:ind w:left="320" w:leftChars="100" w:right="320" w:rightChars="100"/>
                      <w:jc w:val="left"/>
                      <w:textAlignment w:val="auto"/>
                      <w:rPr>
                        <w:rFonts w:ascii="宋体" w:hAnsi="宋体" w:eastAsia="宋体" w:cs="宋体"/>
                        <w:kern w:val="0"/>
                        <w:sz w:val="24"/>
                        <w:szCs w:val="24"/>
                        <w:lang w:val="en-US" w:eastAsia="zh-CN" w:bidi="ar-SA"/>
                      </w:rPr>
                    </w:pPr>
                    <w:r>
                      <w:rPr>
                        <w:rFonts w:ascii="宋体" w:hAnsi="宋体" w:eastAsia="宋体" w:cs="宋体"/>
                        <w:kern w:val="0"/>
                        <w:sz w:val="28"/>
                        <w:szCs w:val="24"/>
                        <w:lang w:val="en-US" w:eastAsia="zh-CN" w:bidi="ar-SA"/>
                      </w:rPr>
                      <w:t xml:space="preserve">— </w:t>
                    </w:r>
                    <w:r>
                      <w:rPr>
                        <w:rFonts w:ascii="宋体" w:hAnsi="宋体" w:eastAsia="宋体" w:cs="宋体"/>
                        <w:kern w:val="0"/>
                        <w:sz w:val="28"/>
                        <w:szCs w:val="24"/>
                        <w:lang w:val="en-US" w:eastAsia="zh-CN" w:bidi="ar-SA"/>
                      </w:rPr>
                      <w:fldChar w:fldCharType="begin"/>
                    </w:r>
                    <w:r>
                      <w:rPr>
                        <w:rFonts w:ascii="宋体" w:hAnsi="宋体" w:eastAsia="宋体" w:cs="宋体"/>
                        <w:kern w:val="0"/>
                        <w:sz w:val="28"/>
                        <w:szCs w:val="24"/>
                        <w:lang w:val="en-US" w:eastAsia="zh-CN" w:bidi="ar-SA"/>
                      </w:rPr>
                      <w:instrText xml:space="preserve"> PAGE  \* MERGEFORMAT </w:instrText>
                    </w:r>
                    <w:r>
                      <w:rPr>
                        <w:rFonts w:ascii="宋体" w:hAnsi="宋体" w:eastAsia="宋体" w:cs="宋体"/>
                        <w:kern w:val="0"/>
                        <w:sz w:val="28"/>
                        <w:szCs w:val="24"/>
                        <w:lang w:val="en-US" w:eastAsia="zh-CN" w:bidi="ar-SA"/>
                      </w:rPr>
                      <w:fldChar w:fldCharType="separate"/>
                    </w:r>
                    <w:r>
                      <w:rPr>
                        <w:rFonts w:ascii="宋体" w:hAnsi="宋体" w:eastAsia="宋体" w:cs="宋体"/>
                        <w:kern w:val="0"/>
                        <w:sz w:val="28"/>
                        <w:szCs w:val="24"/>
                        <w:lang w:val="en-US" w:eastAsia="zh-CN" w:bidi="ar-SA"/>
                      </w:rPr>
                      <w:t>29</w:t>
                    </w:r>
                    <w:r>
                      <w:rPr>
                        <w:rFonts w:ascii="宋体" w:hAnsi="宋体" w:eastAsia="宋体" w:cs="宋体"/>
                        <w:kern w:val="0"/>
                        <w:sz w:val="28"/>
                        <w:szCs w:val="24"/>
                        <w:lang w:val="en-US" w:eastAsia="zh-CN" w:bidi="ar-SA"/>
                      </w:rPr>
                      <w:fldChar w:fldCharType="end"/>
                    </w:r>
                    <w:r>
                      <w:rPr>
                        <w:rFonts w:ascii="宋体" w:hAnsi="宋体" w:eastAsia="宋体" w:cs="宋体"/>
                        <w:kern w:val="0"/>
                        <w:sz w:val="28"/>
                        <w:szCs w:val="2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D25F">
    <w:pPr>
      <w:widowControl w:val="0"/>
      <w:tabs>
        <w:tab w:val="center" w:pos="4153"/>
        <w:tab w:val="right" w:pos="8306"/>
      </w:tabs>
      <w:snapToGrid w:val="0"/>
      <w:jc w:val="left"/>
      <w:rPr>
        <w:rFonts w:ascii="宋体" w:hAnsi="宋体" w:eastAsia="宋体" w:cs="Times New Roman"/>
        <w:kern w:val="0"/>
        <w:sz w:val="24"/>
        <w:szCs w:val="24"/>
        <w:lang w:val="en-US" w:eastAsia="zh-CN" w:bidi="ar-SA"/>
      </w:rPr>
    </w:pPr>
    <w:r>
      <w:rPr>
        <w:rFonts w:ascii="Times New Roman" w:hAnsi="Times New Roman" w:eastAsia="宋体" w:cs="Times New Roman"/>
        <w:kern w:val="0"/>
        <w:sz w:val="24"/>
        <w:szCs w:val="18"/>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899795</wp:posOffset>
              </wp:positionH>
              <wp:positionV relativeFrom="page">
                <wp:posOffset>1007745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ED677">
                          <w:pPr>
                            <w:keepNext w:val="0"/>
                            <w:keepLines w:val="0"/>
                            <w:pageBreakBefore w:val="0"/>
                            <w:widowControl w:val="0"/>
                            <w:tabs>
                              <w:tab w:val="center" w:pos="4153"/>
                              <w:tab w:val="right" w:pos="8306"/>
                            </w:tabs>
                            <w:kinsoku/>
                            <w:wordWrap/>
                            <w:overflowPunct/>
                            <w:topLinePunct w:val="0"/>
                            <w:bidi w:val="0"/>
                            <w:adjustRightInd/>
                            <w:snapToGrid w:val="0"/>
                            <w:ind w:left="320" w:leftChars="100" w:right="320" w:rightChars="100"/>
                            <w:jc w:val="left"/>
                            <w:textAlignment w:val="auto"/>
                            <w:rPr>
                              <w:rFonts w:ascii="宋体" w:hAnsi="宋体" w:eastAsia="宋体" w:cs="Times New Roman"/>
                              <w:kern w:val="0"/>
                              <w:sz w:val="28"/>
                              <w:szCs w:val="18"/>
                              <w:lang w:val="en-US" w:eastAsia="zh-CN" w:bidi="ar-SA"/>
                            </w:rPr>
                          </w:pPr>
                          <w:r>
                            <w:rPr>
                              <w:rFonts w:hint="eastAsia" w:ascii="宋体" w:hAnsi="宋体" w:eastAsia="宋体" w:cs="宋体"/>
                              <w:kern w:val="0"/>
                              <w:sz w:val="28"/>
                              <w:szCs w:val="24"/>
                              <w:lang w:val="en-US" w:eastAsia="zh-CN" w:bidi="ar-SA"/>
                            </w:rPr>
                            <w:t xml:space="preserve">－ </w:t>
                          </w:r>
                          <w:r>
                            <w:rPr>
                              <w:rFonts w:hint="eastAsia" w:ascii="宋体" w:hAnsi="宋体" w:eastAsia="宋体" w:cs="宋体"/>
                              <w:kern w:val="0"/>
                              <w:sz w:val="28"/>
                              <w:szCs w:val="24"/>
                              <w:lang w:val="en-US" w:eastAsia="zh-CN" w:bidi="ar-SA"/>
                            </w:rPr>
                            <w:fldChar w:fldCharType="begin"/>
                          </w:r>
                          <w:r>
                            <w:rPr>
                              <w:rFonts w:hint="eastAsia" w:ascii="宋体" w:hAnsi="宋体" w:eastAsia="宋体" w:cs="宋体"/>
                              <w:kern w:val="0"/>
                              <w:sz w:val="28"/>
                              <w:szCs w:val="24"/>
                              <w:lang w:val="en-US" w:eastAsia="zh-CN" w:bidi="ar-SA"/>
                            </w:rPr>
                            <w:instrText xml:space="preserve">PAGE   \* MERGEFORMAT</w:instrText>
                          </w:r>
                          <w:r>
                            <w:rPr>
                              <w:rFonts w:hint="eastAsia" w:ascii="宋体" w:hAnsi="宋体" w:eastAsia="宋体" w:cs="宋体"/>
                              <w:kern w:val="0"/>
                              <w:sz w:val="28"/>
                              <w:szCs w:val="24"/>
                              <w:lang w:val="en-US" w:eastAsia="zh-CN" w:bidi="ar-SA"/>
                            </w:rPr>
                            <w:fldChar w:fldCharType="separate"/>
                          </w:r>
                          <w:r>
                            <w:rPr>
                              <w:rFonts w:hint="eastAsia" w:ascii="宋体" w:hAnsi="宋体" w:eastAsia="宋体" w:cs="宋体"/>
                              <w:kern w:val="0"/>
                              <w:sz w:val="28"/>
                              <w:szCs w:val="24"/>
                              <w:lang w:val="zh-CN" w:eastAsia="zh-CN" w:bidi="ar-SA"/>
                            </w:rPr>
                            <w:t>-</w:t>
                          </w:r>
                          <w:r>
                            <w:rPr>
                              <w:rFonts w:hint="eastAsia" w:ascii="宋体" w:hAnsi="宋体" w:eastAsia="宋体" w:cs="宋体"/>
                              <w:kern w:val="0"/>
                              <w:sz w:val="28"/>
                              <w:szCs w:val="24"/>
                              <w:lang w:val="en-US" w:eastAsia="zh-CN" w:bidi="ar-SA"/>
                            </w:rPr>
                            <w:t xml:space="preserve"> 4 -</w:t>
                          </w:r>
                          <w:r>
                            <w:rPr>
                              <w:rFonts w:hint="eastAsia" w:ascii="宋体" w:hAnsi="宋体" w:eastAsia="宋体" w:cs="宋体"/>
                              <w:kern w:val="0"/>
                              <w:sz w:val="28"/>
                              <w:szCs w:val="24"/>
                              <w:lang w:val="en-US" w:eastAsia="zh-CN" w:bidi="ar-SA"/>
                            </w:rPr>
                            <w:fldChar w:fldCharType="end"/>
                          </w:r>
                          <w:r>
                            <w:rPr>
                              <w:rFonts w:hint="eastAsia" w:ascii="宋体" w:hAnsi="宋体" w:eastAsia="宋体" w:cs="宋体"/>
                              <w:kern w:val="0"/>
                              <w:sz w:val="28"/>
                              <w:szCs w:val="24"/>
                              <w:lang w:val="en-US" w:eastAsia="zh-CN" w:bidi="ar-SA"/>
                            </w:rPr>
                            <w:t xml:space="preserve"> －</w:t>
                          </w:r>
                        </w:p>
                      </w:txbxContent>
                    </wps:txbx>
                    <wps:bodyPr vert="vert" wrap="none" lIns="0" tIns="0" rIns="0" bIns="0" upright="0">
                      <a:spAutoFit/>
                    </wps:bodyPr>
                  </wps:wsp>
                </a:graphicData>
              </a:graphic>
            </wp:anchor>
          </w:drawing>
        </mc:Choice>
        <mc:Fallback>
          <w:pict>
            <v:shape id="_x0000_s1026" o:spid="_x0000_s1026" o:spt="202" type="#_x0000_t202" style="position:absolute;left:0pt;margin-left:70.85pt;margin-top:79.35pt;height:144pt;width:144pt;mso-position-horizontal-relative:page;mso-position-vertical-relative:page;mso-wrap-style:none;z-index:251660288;mso-width-relative:page;mso-height-relative:page;" filled="f" stroked="f" coordsize="21600,21600" o:gfxdata="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lpaU+K4xYFffny/&#10;/Px9+fWN1FmeIUCDWfcB89L41o+4NIsf0JlZjyra/EU+BOMo7vkqrhwTEfmndb1eVxgSGFsuiM8e&#10;fg8R0jvpLclGSyNOr4jKTx8gTalLSq7m/J02pkzQuL8ciJk9LPc+9ZitNO7HmdDed2fkg88A6+ST&#10;kgGXoKUOd54S896hxnlfFiMuxn4xjiHqQ18WKteG8OaYsKHSZ642lZibwOkVpvOm5fV4fC9ZD6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5LUSm1wAAAAsBAAAPAAAAAAAAAAEAIAAAACIAAABk&#10;cnMvZG93bnJldi54bWxQSwECFAAUAAAACACHTuJAz/7MUs4BAAClAwAADgAAAAAAAAABACAAAAAm&#10;AQAAZHJzL2Uyb0RvYy54bWxQSwUGAAAAAAYABgBZAQAAZgUAAAAA&#10;">
              <v:path/>
              <v:fill on="f" focussize="0,0"/>
              <v:stroke on="f"/>
              <v:imagedata o:title=""/>
              <o:lock v:ext="edit" aspectratio="f"/>
              <v:textbox inset="0mm,0mm,0mm,0mm" style="layout-flow:vertical;mso-fit-shape-to-text:t;">
                <w:txbxContent>
                  <w:p w14:paraId="6EDED677">
                    <w:pPr>
                      <w:keepNext w:val="0"/>
                      <w:keepLines w:val="0"/>
                      <w:pageBreakBefore w:val="0"/>
                      <w:widowControl w:val="0"/>
                      <w:tabs>
                        <w:tab w:val="center" w:pos="4153"/>
                        <w:tab w:val="right" w:pos="8306"/>
                      </w:tabs>
                      <w:kinsoku/>
                      <w:wordWrap/>
                      <w:overflowPunct/>
                      <w:topLinePunct w:val="0"/>
                      <w:bidi w:val="0"/>
                      <w:adjustRightInd/>
                      <w:snapToGrid w:val="0"/>
                      <w:ind w:left="320" w:leftChars="100" w:right="320" w:rightChars="100"/>
                      <w:jc w:val="left"/>
                      <w:textAlignment w:val="auto"/>
                      <w:rPr>
                        <w:rFonts w:ascii="宋体" w:hAnsi="宋体" w:eastAsia="宋体" w:cs="Times New Roman"/>
                        <w:kern w:val="0"/>
                        <w:sz w:val="28"/>
                        <w:szCs w:val="18"/>
                        <w:lang w:val="en-US" w:eastAsia="zh-CN" w:bidi="ar-SA"/>
                      </w:rPr>
                    </w:pPr>
                    <w:r>
                      <w:rPr>
                        <w:rFonts w:hint="eastAsia" w:ascii="宋体" w:hAnsi="宋体" w:eastAsia="宋体" w:cs="宋体"/>
                        <w:kern w:val="0"/>
                        <w:sz w:val="28"/>
                        <w:szCs w:val="24"/>
                        <w:lang w:val="en-US" w:eastAsia="zh-CN" w:bidi="ar-SA"/>
                      </w:rPr>
                      <w:t xml:space="preserve">－ </w:t>
                    </w:r>
                    <w:r>
                      <w:rPr>
                        <w:rFonts w:hint="eastAsia" w:ascii="宋体" w:hAnsi="宋体" w:eastAsia="宋体" w:cs="宋体"/>
                        <w:kern w:val="0"/>
                        <w:sz w:val="28"/>
                        <w:szCs w:val="24"/>
                        <w:lang w:val="en-US" w:eastAsia="zh-CN" w:bidi="ar-SA"/>
                      </w:rPr>
                      <w:fldChar w:fldCharType="begin"/>
                    </w:r>
                    <w:r>
                      <w:rPr>
                        <w:rFonts w:hint="eastAsia" w:ascii="宋体" w:hAnsi="宋体" w:eastAsia="宋体" w:cs="宋体"/>
                        <w:kern w:val="0"/>
                        <w:sz w:val="28"/>
                        <w:szCs w:val="24"/>
                        <w:lang w:val="en-US" w:eastAsia="zh-CN" w:bidi="ar-SA"/>
                      </w:rPr>
                      <w:instrText xml:space="preserve">PAGE   \* MERGEFORMAT</w:instrText>
                    </w:r>
                    <w:r>
                      <w:rPr>
                        <w:rFonts w:hint="eastAsia" w:ascii="宋体" w:hAnsi="宋体" w:eastAsia="宋体" w:cs="宋体"/>
                        <w:kern w:val="0"/>
                        <w:sz w:val="28"/>
                        <w:szCs w:val="24"/>
                        <w:lang w:val="en-US" w:eastAsia="zh-CN" w:bidi="ar-SA"/>
                      </w:rPr>
                      <w:fldChar w:fldCharType="separate"/>
                    </w:r>
                    <w:r>
                      <w:rPr>
                        <w:rFonts w:hint="eastAsia" w:ascii="宋体" w:hAnsi="宋体" w:eastAsia="宋体" w:cs="宋体"/>
                        <w:kern w:val="0"/>
                        <w:sz w:val="28"/>
                        <w:szCs w:val="24"/>
                        <w:lang w:val="zh-CN" w:eastAsia="zh-CN" w:bidi="ar-SA"/>
                      </w:rPr>
                      <w:t>-</w:t>
                    </w:r>
                    <w:r>
                      <w:rPr>
                        <w:rFonts w:hint="eastAsia" w:ascii="宋体" w:hAnsi="宋体" w:eastAsia="宋体" w:cs="宋体"/>
                        <w:kern w:val="0"/>
                        <w:sz w:val="28"/>
                        <w:szCs w:val="24"/>
                        <w:lang w:val="en-US" w:eastAsia="zh-CN" w:bidi="ar-SA"/>
                      </w:rPr>
                      <w:t xml:space="preserve"> 4 -</w:t>
                    </w:r>
                    <w:r>
                      <w:rPr>
                        <w:rFonts w:hint="eastAsia" w:ascii="宋体" w:hAnsi="宋体" w:eastAsia="宋体" w:cs="宋体"/>
                        <w:kern w:val="0"/>
                        <w:sz w:val="28"/>
                        <w:szCs w:val="24"/>
                        <w:lang w:val="en-US" w:eastAsia="zh-CN" w:bidi="ar-SA"/>
                      </w:rPr>
                      <w:fldChar w:fldCharType="end"/>
                    </w:r>
                    <w:r>
                      <w:rPr>
                        <w:rFonts w:hint="eastAsia" w:ascii="宋体" w:hAnsi="宋体" w:eastAsia="宋体" w:cs="宋体"/>
                        <w:kern w:val="0"/>
                        <w:sz w:val="28"/>
                        <w:szCs w:val="2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71B85"/>
    <w:rsid w:val="1927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2025-10-29T07:48:00Z</dcterms:created>
  <dc:creator>WPS_1715760179</dc:creator>
  <cp:lastModifiedBy>WPS_1715760179</cp:lastModifiedBy>
  <dcterms:modified xsi:type="dcterms:W3CDTF">2025-10-29T07:49:25Z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226DA6467BC549CFBC12806E19801CBA_11</vt:lpwstr>
  </property>
  <property fmtid="{D5CDD505-2E9C-101B-9397-08002B2CF9AE}" pid="4" name="KSOTemplateDocerSaveRecord">
    <vt:lpwstr>eyJoZGlkIjoiZGNlMDQzNmFjNmNmMGM4NzY5NmFlZTlmYmZkMjJlOTgiLCJ1c2VySWQiOiIxNjAwMTI4Njc2In0=</vt:lpwstr>
  </property>
</Properties>
</file>