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721"/>
          <w:tab w:val="center" w:pos="4153"/>
        </w:tabs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tabs>
          <w:tab w:val="left" w:pos="1721"/>
          <w:tab w:val="center" w:pos="4153"/>
        </w:tabs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b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color w:val="auto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tabs>
          <w:tab w:val="left" w:pos="1721"/>
          <w:tab w:val="center" w:pos="4153"/>
        </w:tabs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</w:rPr>
        <w:t>城市干线两侧4a类功能区距离的划定</w:t>
      </w:r>
    </w:p>
    <w:bookmarkEnd w:id="0"/>
    <w:p>
      <w:pPr>
        <w:keepNext w:val="0"/>
        <w:keepLines w:val="0"/>
        <w:pageBreakBefore w:val="0"/>
        <w:tabs>
          <w:tab w:val="left" w:pos="1721"/>
          <w:tab w:val="center" w:pos="4153"/>
        </w:tabs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</w:rPr>
      </w:pPr>
    </w:p>
    <w:tbl>
      <w:tblPr>
        <w:tblStyle w:val="3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交通干线类型</w:t>
            </w:r>
          </w:p>
        </w:tc>
        <w:tc>
          <w:tcPr>
            <w:tcW w:w="284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划分距离（米）</w:t>
            </w:r>
          </w:p>
        </w:tc>
        <w:tc>
          <w:tcPr>
            <w:tcW w:w="284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相邻功能区类型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城市主干路、城市次干路</w:t>
            </w:r>
          </w:p>
        </w:tc>
        <w:tc>
          <w:tcPr>
            <w:tcW w:w="284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50±5</w:t>
            </w:r>
          </w:p>
        </w:tc>
        <w:tc>
          <w:tcPr>
            <w:tcW w:w="284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1类区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35±5</w:t>
            </w:r>
          </w:p>
        </w:tc>
        <w:tc>
          <w:tcPr>
            <w:tcW w:w="284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2类区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20±5</w:t>
            </w:r>
          </w:p>
        </w:tc>
        <w:tc>
          <w:tcPr>
            <w:tcW w:w="284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3类区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81F05"/>
    <w:rsid w:val="06E8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2025-12-03T08:38:00Z</dcterms:created>
  <dc:creator>ZWGK</dc:creator>
  <cp:lastModifiedBy>ZWGK</cp:lastModifiedBy>
  <dcterms:modified xsi:type="dcterms:W3CDTF">2025-12-03T08:39:01Z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