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color="auto" w:fill="FFFFFF"/>
        </w:rPr>
        <w:t>小型微利企业、个体工商户所得税优惠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【享受主体】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符合政策规定的小型微利企业、个体工商户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【优惠内容】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自2023年1月1日至2024年12月31日，对小型微利企业年应纳税所得额不到100万元的部分，减按25%计入应纳税所得额，按20%的税率缴纳企业所得税。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对个体工商户应纳税所得额不到100万元的部分，在现行优惠政策基础上，减半征收个人所得税。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</w:rPr>
        <w:t>【政策依据】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《财政部 税务总局关于小微企业和个体工商户所得税优惠政策的公告》（财政部 税务总局公告2023年第6号）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22222"/>
          <w:spacing w:val="8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YmJiZmY2NDEwMjJkMTJiMjA2M2YxYzAyNDFjYmUifQ=="/>
  </w:docVars>
  <w:rsids>
    <w:rsidRoot w:val="399C5C12"/>
    <w:rsid w:val="207109C7"/>
    <w:rsid w:val="399C5C12"/>
    <w:rsid w:val="6AC5633E"/>
    <w:rsid w:val="70E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2023-07-20T06:57:00Z</dcterms:created>
  <dc:creator>大喵</dc:creator>
  <cp:lastModifiedBy>大喵</cp:lastModifiedBy>
  <dcterms:modified xsi:type="dcterms:W3CDTF">2023-07-20T07:06:21Z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50301FD6C9B249918F3239F73198194F_13</vt:lpwstr>
  </property>
</Properties>
</file>