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b/>
          <w:bCs/>
          <w:i w:val="0"/>
          <w:iCs w:val="0"/>
          <w:caps w:val="0"/>
          <w:color w:val="000000"/>
          <w:spacing w:val="0"/>
          <w:sz w:val="36"/>
          <w:szCs w:val="36"/>
          <w:shd w:val="clear" w:color="auto" w:fill="FFFFFF"/>
        </w:rPr>
      </w:pPr>
      <w:bookmarkStart w:id="0" w:name="_GoBack"/>
      <w:bookmarkEnd w:id="0"/>
      <w:r>
        <w:rPr>
          <w:rFonts w:ascii="微软雅黑" w:hAnsi="微软雅黑" w:eastAsia="微软雅黑" w:cs="微软雅黑"/>
          <w:b/>
          <w:bCs/>
          <w:i w:val="0"/>
          <w:iCs w:val="0"/>
          <w:caps w:val="0"/>
          <w:color w:val="000000"/>
          <w:spacing w:val="0"/>
          <w:sz w:val="36"/>
          <w:szCs w:val="36"/>
          <w:shd w:val="clear" w:color="auto" w:fill="FFFFFF"/>
        </w:rPr>
        <w:t>生活性服务业纳税人进项税额加计抵减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【享受主体】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符合政策规定的生活性服务业纳税人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【优惠内容】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2023年1月1日至2023年12月31日，允许生活性服务业纳税人按照当期可抵扣进项税额加计10%，抵减应纳税额。生活性服务业纳税人是指提供生活服务取得的销售额占全部销售额的比重超过50%的纳税人。生活服务业包括文化体育、教育医疗、旅游娱乐、餐饮住宿、居民日常服务和其他生活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【政策依据】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《财政部 税务总局关于明确增值税小规模纳税人减免增值税等政策的公告》（财政部 税务总局公告2023年第1号）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YmJiZmY2NDEwMjJkMTJiMjA2M2YxYzAyNDFjYmUifQ=="/>
  </w:docVars>
  <w:rsids>
    <w:rsidRoot w:val="17036E94"/>
    <w:rsid w:val="02E610CF"/>
    <w:rsid w:val="1703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2023-07-20T07:10:00Z</dcterms:created>
  <dc:creator>大喵</dc:creator>
  <cp:lastModifiedBy>大喵</cp:lastModifiedBy>
  <dcterms:modified xsi:type="dcterms:W3CDTF">2023-07-20T07:12:39Z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13FD2D9EAD554ECEB4278AF08D5046CA_13</vt:lpwstr>
  </property>
</Properties>
</file>