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20"/>
        </w:tabs>
        <w:ind w:right="17" w:rightChars="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eastAsia="楷体_GB2312"/>
          <w:b/>
          <w:kern w:val="2"/>
          <w:sz w:val="44"/>
          <w:szCs w:val="44"/>
        </w:rPr>
        <w:t>鄄城县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2024年12</w:t>
      </w:r>
      <w:r>
        <w:rPr>
          <w:rFonts w:hint="eastAsia" w:ascii="楷体_GB2312" w:eastAsia="楷体_GB2312"/>
          <w:b/>
          <w:kern w:val="2"/>
          <w:sz w:val="44"/>
          <w:szCs w:val="44"/>
        </w:rPr>
        <w:t>月份财政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收支情况及分析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一、一般公共预算收支情况</w:t>
      </w:r>
    </w:p>
    <w:p>
      <w:pPr>
        <w:tabs>
          <w:tab w:val="left" w:pos="8320"/>
        </w:tabs>
        <w:ind w:right="-53" w:rightChars="-25" w:firstLine="960" w:firstLineChars="3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月份，全县一般公共预算收入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181621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6399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3.7</w:t>
      </w:r>
      <w:r>
        <w:rPr>
          <w:rFonts w:hint="eastAsia" w:ascii="楷体" w:hAnsi="楷体" w:eastAsia="楷体" w:cs="楷体"/>
          <w:sz w:val="32"/>
          <w:szCs w:val="32"/>
        </w:rPr>
        <w:t>%。</w:t>
      </w:r>
    </w:p>
    <w:p>
      <w:pPr>
        <w:ind w:firstLine="960" w:firstLineChars="3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月份，全县地方公共财政预算支出累计完成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507979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万元，较上年同期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下降10.56</w:t>
      </w:r>
      <w:r>
        <w:rPr>
          <w:rFonts w:hint="eastAsia" w:ascii="楷体" w:hAnsi="楷体" w:eastAsia="楷体" w:cs="楷体"/>
          <w:kern w:val="2"/>
          <w:sz w:val="32"/>
          <w:szCs w:val="32"/>
        </w:rPr>
        <w:t>%，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减</w:t>
      </w:r>
      <w:r>
        <w:rPr>
          <w:rFonts w:hint="eastAsia" w:ascii="楷体" w:hAnsi="楷体" w:eastAsia="楷体" w:cs="楷体"/>
          <w:kern w:val="2"/>
          <w:sz w:val="32"/>
          <w:szCs w:val="32"/>
        </w:rPr>
        <w:t>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59957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中，民生保障类支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出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450544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万元，占公共预算支出的比重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88.7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%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财政收支分析及增减变化原因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增收原因：</w:t>
      </w:r>
      <w:r>
        <w:rPr>
          <w:rFonts w:hint="eastAsia" w:ascii="楷体" w:hAnsi="楷体" w:eastAsia="楷体" w:cs="楷体"/>
          <w:b w:val="0"/>
          <w:bCs w:val="0"/>
          <w:color w:val="000000"/>
          <w:spacing w:val="2"/>
          <w:sz w:val="32"/>
          <w:szCs w:val="32"/>
          <w:highlight w:val="none"/>
          <w:lang w:val="en-US" w:eastAsia="zh-CN"/>
        </w:rPr>
        <w:t>商业</w:t>
      </w:r>
      <w:r>
        <w:rPr>
          <w:rFonts w:hint="eastAsia" w:ascii="楷体" w:hAnsi="楷体" w:eastAsia="楷体" w:cs="楷体"/>
          <w:b w:val="0"/>
          <w:bCs w:val="0"/>
          <w:color w:val="000000"/>
          <w:spacing w:val="2"/>
          <w:sz w:val="32"/>
          <w:szCs w:val="32"/>
          <w:lang w:val="en-US" w:eastAsia="zh-CN"/>
        </w:rPr>
        <w:t>入库税收9221万元，同比增长34.59%，增收2370万元。增收主要原因一是重点企业鸿奥燃气、富美再生资源、迈福（山东）科学仪器、菏泽垚森建材较同期分别增收365万元、110万元、717万元、155万元；二是同期为山东睿鹰医药销售有限公司留抵退税725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减收原因：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木材加工行业</w:t>
      </w:r>
      <w:r>
        <w:rPr>
          <w:rFonts w:hint="eastAsia" w:ascii="楷体" w:hAnsi="楷体" w:eastAsia="楷体" w:cs="楷体"/>
          <w:b w:val="0"/>
          <w:bCs w:val="0"/>
          <w:color w:val="000000"/>
          <w:spacing w:val="2"/>
          <w:sz w:val="32"/>
          <w:szCs w:val="32"/>
          <w:lang w:val="en-US" w:eastAsia="zh-CN"/>
        </w:rPr>
        <w:t>入库税收13848万元，同比下降54.61%，减收16661万元。减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收主要原因一是政策因素，去年同期木材加工行业入库缓缴税款8987万元，同比减收8987万元；二是持续深化“以数治税”理念，加强农产品收购发票风险防控，从源头规范木材加工企业正常生产，目前大部分企业处于停产状态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财政收入走势预判</w:t>
      </w:r>
    </w:p>
    <w:p>
      <w:pPr>
        <w:tabs>
          <w:tab w:val="left" w:pos="8320"/>
        </w:tabs>
        <w:ind w:right="-53" w:rightChars="-25" w:firstLine="960" w:firstLineChars="300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1-12</w:t>
      </w:r>
      <w:r>
        <w:rPr>
          <w:rFonts w:hint="eastAsia" w:ascii="楷体" w:hAnsi="楷体" w:eastAsia="楷体" w:cs="楷体"/>
          <w:sz w:val="32"/>
          <w:szCs w:val="32"/>
        </w:rPr>
        <w:t>月份，全县实现地方公共财政预算收入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181621</w:t>
      </w:r>
      <w:r>
        <w:rPr>
          <w:rFonts w:hint="eastAsia" w:ascii="楷体" w:hAnsi="楷体" w:eastAsia="楷体" w:cs="楷体"/>
          <w:sz w:val="32"/>
          <w:szCs w:val="32"/>
        </w:rPr>
        <w:t>万元，较上年同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6399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3.7</w:t>
      </w:r>
      <w:r>
        <w:rPr>
          <w:rFonts w:hint="eastAsia" w:ascii="楷体" w:hAnsi="楷体" w:eastAsia="楷体" w:cs="楷体"/>
          <w:sz w:val="32"/>
          <w:szCs w:val="32"/>
        </w:rPr>
        <w:t>%。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从当前情况来看，财政收入将继续保持良好势头。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56B9"/>
    <w:rsid w:val="19005B0D"/>
    <w:rsid w:val="3D262BBE"/>
    <w:rsid w:val="514070D4"/>
    <w:rsid w:val="5D6A56B9"/>
    <w:rsid w:val="63887399"/>
    <w:rsid w:val="697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/>
      <w:jc w:val="center"/>
      <w:textAlignment w:val="auto"/>
    </w:pPr>
    <w:rPr>
      <w:rFonts w:eastAsia="宋体"/>
      <w:b/>
      <w:kern w:val="2"/>
      <w:sz w:val="36"/>
    </w:rPr>
  </w:style>
  <w:style w:type="paragraph" w:styleId="3">
    <w:name w:val="Block Text"/>
    <w:basedOn w:val="1"/>
    <w:uiPriority w:val="0"/>
    <w:pPr>
      <w:tabs>
        <w:tab w:val="left" w:pos="8320"/>
      </w:tabs>
      <w:ind w:left="-416" w:right="-52" w:rightChars="-25" w:firstLine="623" w:firstLineChars="209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2025-01-08T07:47:00Z</dcterms:created>
  <dc:creator>我儿走路带风</dc:creator>
  <cp:lastModifiedBy>我儿走路带风</cp:lastModifiedBy>
  <dcterms:modified xsi:type="dcterms:W3CDTF">2025-01-09T01:31:33Z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