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320"/>
        </w:tabs>
        <w:ind w:right="17" w:rightChars="8"/>
        <w:rPr>
          <w:rFonts w:hint="eastAsia" w:ascii="楷体_GB2312" w:hAnsi="楷体_GB2312" w:eastAsia="楷体_GB2312" w:cs="楷体_GB2312"/>
          <w:sz w:val="32"/>
          <w:szCs w:val="32"/>
        </w:rPr>
      </w:pPr>
      <w:r>
        <w:rPr>
          <w:rFonts w:hint="eastAsia" w:ascii="楷体_GB2312" w:eastAsia="楷体_GB2312"/>
          <w:b/>
          <w:kern w:val="2"/>
          <w:sz w:val="44"/>
          <w:szCs w:val="44"/>
        </w:rPr>
        <w:t>鄄城县</w:t>
      </w:r>
      <w:r>
        <w:rPr>
          <w:rFonts w:hint="eastAsia" w:ascii="楷体_GB2312" w:eastAsia="楷体_GB2312"/>
          <w:b/>
          <w:kern w:val="2"/>
          <w:sz w:val="44"/>
          <w:szCs w:val="44"/>
          <w:lang w:val="en-US" w:eastAsia="zh-CN"/>
        </w:rPr>
        <w:t>2025年4</w:t>
      </w:r>
      <w:r>
        <w:rPr>
          <w:rFonts w:hint="eastAsia" w:ascii="楷体_GB2312" w:eastAsia="楷体_GB2312"/>
          <w:b/>
          <w:kern w:val="2"/>
          <w:sz w:val="44"/>
          <w:szCs w:val="44"/>
        </w:rPr>
        <w:t>月份财政</w:t>
      </w:r>
      <w:r>
        <w:rPr>
          <w:rFonts w:hint="eastAsia" w:ascii="楷体_GB2312" w:eastAsia="楷体_GB2312"/>
          <w:b/>
          <w:kern w:val="2"/>
          <w:sz w:val="44"/>
          <w:szCs w:val="44"/>
          <w:lang w:val="en-US" w:eastAsia="zh-CN"/>
        </w:rPr>
        <w:t>收支情况及分析</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一、一般公共预算收支情况</w:t>
      </w:r>
    </w:p>
    <w:p>
      <w:pPr>
        <w:tabs>
          <w:tab w:val="left" w:pos="8320"/>
        </w:tabs>
        <w:ind w:right="-53" w:rightChars="-25" w:firstLine="640" w:firstLineChars="200"/>
        <w:rPr>
          <w:rFonts w:hint="eastAsia" w:ascii="楷体" w:hAnsi="楷体" w:eastAsia="楷体" w:cs="楷体"/>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月份，全县一般公共预算收入</w:t>
      </w:r>
      <w:r>
        <w:rPr>
          <w:rFonts w:hint="eastAsia" w:ascii="楷体" w:hAnsi="楷体" w:eastAsia="楷体" w:cs="楷体"/>
          <w:sz w:val="32"/>
          <w:szCs w:val="32"/>
          <w:lang w:val="en-US" w:eastAsia="zh-CN"/>
        </w:rPr>
        <w:t>67895</w:t>
      </w:r>
      <w:r>
        <w:rPr>
          <w:rFonts w:hint="eastAsia" w:ascii="楷体" w:hAnsi="楷体" w:eastAsia="楷体" w:cs="楷体"/>
          <w:sz w:val="32"/>
          <w:szCs w:val="32"/>
        </w:rPr>
        <w:t>万元，较上年同期增收</w:t>
      </w:r>
      <w:r>
        <w:rPr>
          <w:rFonts w:hint="eastAsia" w:ascii="楷体" w:hAnsi="楷体" w:eastAsia="楷体" w:cs="楷体"/>
          <w:sz w:val="32"/>
          <w:szCs w:val="32"/>
          <w:lang w:val="en-US" w:eastAsia="zh-CN"/>
        </w:rPr>
        <w:t>11109</w:t>
      </w:r>
      <w:r>
        <w:rPr>
          <w:rFonts w:hint="eastAsia" w:ascii="楷体" w:hAnsi="楷体" w:eastAsia="楷体" w:cs="楷体"/>
          <w:sz w:val="32"/>
          <w:szCs w:val="32"/>
        </w:rPr>
        <w:t>万元，同比增长</w:t>
      </w:r>
      <w:r>
        <w:rPr>
          <w:rFonts w:hint="eastAsia" w:ascii="楷体" w:hAnsi="楷体" w:eastAsia="楷体" w:cs="楷体"/>
          <w:sz w:val="32"/>
          <w:szCs w:val="32"/>
          <w:lang w:val="en-US" w:eastAsia="zh-CN"/>
        </w:rPr>
        <w:t>19.6</w:t>
      </w:r>
      <w:r>
        <w:rPr>
          <w:rFonts w:hint="eastAsia" w:ascii="楷体" w:hAnsi="楷体" w:eastAsia="楷体" w:cs="楷体"/>
          <w:sz w:val="32"/>
          <w:szCs w:val="32"/>
        </w:rPr>
        <w:t>%。</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月份，全县地方公共财政预算支出累计完成</w:t>
      </w:r>
      <w:r>
        <w:rPr>
          <w:rFonts w:hint="eastAsia" w:ascii="楷体" w:hAnsi="楷体" w:eastAsia="楷体" w:cs="楷体"/>
          <w:kern w:val="2"/>
          <w:sz w:val="32"/>
          <w:szCs w:val="32"/>
          <w:lang w:val="en-US" w:eastAsia="zh-CN"/>
        </w:rPr>
        <w:t>166154</w:t>
      </w:r>
      <w:r>
        <w:rPr>
          <w:rFonts w:hint="eastAsia" w:ascii="楷体" w:hAnsi="楷体" w:eastAsia="楷体" w:cs="楷体"/>
          <w:kern w:val="2"/>
          <w:sz w:val="32"/>
          <w:szCs w:val="32"/>
        </w:rPr>
        <w:t>万元，较上年同期</w:t>
      </w:r>
      <w:r>
        <w:rPr>
          <w:rFonts w:hint="eastAsia" w:ascii="楷体" w:hAnsi="楷体" w:eastAsia="楷体" w:cs="楷体"/>
          <w:kern w:val="2"/>
          <w:sz w:val="32"/>
          <w:szCs w:val="32"/>
          <w:lang w:val="en-US" w:eastAsia="zh-CN"/>
        </w:rPr>
        <w:t>增长32.37</w:t>
      </w:r>
      <w:r>
        <w:rPr>
          <w:rFonts w:hint="eastAsia" w:ascii="楷体" w:hAnsi="楷体" w:eastAsia="楷体" w:cs="楷体"/>
          <w:kern w:val="2"/>
          <w:sz w:val="32"/>
          <w:szCs w:val="32"/>
        </w:rPr>
        <w:t>%，</w:t>
      </w:r>
      <w:r>
        <w:rPr>
          <w:rFonts w:hint="eastAsia" w:ascii="楷体" w:hAnsi="楷体" w:eastAsia="楷体" w:cs="楷体"/>
          <w:kern w:val="2"/>
          <w:sz w:val="32"/>
          <w:szCs w:val="32"/>
          <w:lang w:val="en-US" w:eastAsia="zh-CN"/>
        </w:rPr>
        <w:t>增</w:t>
      </w:r>
      <w:r>
        <w:rPr>
          <w:rFonts w:hint="eastAsia" w:ascii="楷体" w:hAnsi="楷体" w:eastAsia="楷体" w:cs="楷体"/>
          <w:kern w:val="2"/>
          <w:sz w:val="32"/>
          <w:szCs w:val="32"/>
        </w:rPr>
        <w:t>支</w:t>
      </w:r>
      <w:r>
        <w:rPr>
          <w:rFonts w:hint="eastAsia" w:ascii="楷体" w:hAnsi="楷体" w:eastAsia="楷体" w:cs="楷体"/>
          <w:kern w:val="2"/>
          <w:sz w:val="32"/>
          <w:szCs w:val="32"/>
          <w:lang w:val="en-US" w:eastAsia="zh-CN"/>
        </w:rPr>
        <w:t>40635</w:t>
      </w:r>
      <w:r>
        <w:rPr>
          <w:rFonts w:hint="eastAsia" w:ascii="楷体" w:hAnsi="楷体" w:eastAsia="楷体" w:cs="楷体"/>
          <w:kern w:val="2"/>
          <w:sz w:val="32"/>
          <w:szCs w:val="32"/>
        </w:rPr>
        <w:t>万元</w:t>
      </w:r>
      <w:r>
        <w:rPr>
          <w:rFonts w:hint="eastAsia" w:ascii="楷体" w:hAnsi="楷体" w:eastAsia="楷体" w:cs="楷体"/>
          <w:kern w:val="2"/>
          <w:sz w:val="32"/>
          <w:szCs w:val="32"/>
          <w:lang w:eastAsia="zh-CN"/>
        </w:rPr>
        <w:t>，</w:t>
      </w:r>
      <w:r>
        <w:rPr>
          <w:rFonts w:hint="eastAsia" w:ascii="楷体_GB2312" w:hAnsi="楷体_GB2312" w:eastAsia="楷体_GB2312" w:cs="楷体_GB2312"/>
          <w:sz w:val="32"/>
          <w:szCs w:val="32"/>
        </w:rPr>
        <w:t>其中，民生保障类支</w:t>
      </w:r>
      <w:r>
        <w:rPr>
          <w:rFonts w:hint="eastAsia" w:ascii="楷体" w:hAnsi="楷体" w:eastAsia="楷体" w:cs="楷体"/>
          <w:kern w:val="2"/>
          <w:sz w:val="32"/>
          <w:szCs w:val="32"/>
          <w:lang w:val="en-US" w:eastAsia="zh-CN"/>
        </w:rPr>
        <w:t>139962</w:t>
      </w:r>
      <w:r>
        <w:rPr>
          <w:rFonts w:hint="eastAsia" w:ascii="楷体" w:hAnsi="楷体" w:eastAsia="楷体" w:cs="楷体"/>
          <w:kern w:val="2"/>
          <w:sz w:val="32"/>
          <w:szCs w:val="32"/>
        </w:rPr>
        <w:t>万元，占公共预算支出的比重</w:t>
      </w:r>
      <w:r>
        <w:rPr>
          <w:rFonts w:hint="eastAsia" w:ascii="楷体" w:hAnsi="楷体" w:eastAsia="楷体" w:cs="楷体"/>
          <w:kern w:val="2"/>
          <w:sz w:val="32"/>
          <w:szCs w:val="32"/>
          <w:lang w:val="en-US" w:eastAsia="zh-CN"/>
        </w:rPr>
        <w:t>84</w:t>
      </w:r>
      <w:r>
        <w:rPr>
          <w:rFonts w:hint="eastAsia" w:ascii="楷体" w:hAnsi="楷体" w:eastAsia="楷体" w:cs="楷体"/>
          <w:kern w:val="2"/>
          <w:sz w:val="32"/>
          <w:szCs w:val="32"/>
        </w:rPr>
        <w:t>%</w:t>
      </w:r>
      <w:r>
        <w:rPr>
          <w:rFonts w:hint="eastAsia" w:ascii="楷体_GB2312" w:hAnsi="楷体_GB2312" w:eastAsia="楷体_GB2312" w:cs="楷体_GB2312"/>
          <w:sz w:val="32"/>
          <w:szCs w:val="32"/>
        </w:rPr>
        <w:t>。</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财政收支分析及增减变化原因</w:t>
      </w:r>
    </w:p>
    <w:p>
      <w:pPr>
        <w:overflowPunct w:val="0"/>
        <w:adjustRightInd w:val="0"/>
        <w:snapToGrid w:val="0"/>
        <w:spacing w:line="600" w:lineRule="exact"/>
        <w:ind w:firstLine="648"/>
        <w:rPr>
          <w:rFonts w:hint="eastAsia" w:ascii="楷体" w:hAnsi="楷体" w:eastAsia="楷体" w:cs="楷体"/>
          <w:b/>
          <w:bCs/>
          <w:color w:val="000000"/>
          <w:spacing w:val="2"/>
          <w:sz w:val="32"/>
          <w:szCs w:val="32"/>
          <w:u w:val="single"/>
          <w:lang w:val="en-US" w:eastAsia="zh-CN"/>
        </w:rPr>
      </w:pPr>
      <w:r>
        <w:rPr>
          <w:rFonts w:hint="eastAsia" w:ascii="楷体_GB2312" w:hAnsi="楷体_GB2312" w:eastAsia="楷体_GB2312" w:cs="楷体_GB2312"/>
          <w:sz w:val="32"/>
          <w:szCs w:val="32"/>
          <w:lang w:val="en-US" w:eastAsia="zh-CN"/>
        </w:rPr>
        <w:t>增收原因：</w:t>
      </w:r>
      <w:r>
        <w:rPr>
          <w:rFonts w:hint="eastAsia" w:ascii="楷体" w:hAnsi="楷体" w:eastAsia="楷体" w:cs="楷体"/>
          <w:color w:val="000000"/>
          <w:spacing w:val="2"/>
          <w:sz w:val="32"/>
          <w:szCs w:val="32"/>
          <w:lang w:val="en-US" w:eastAsia="zh-CN"/>
        </w:rPr>
        <w:t>化工行业4月份入库税收收入7027万元，同比增长57.84%，增收2575万元。主要原因为：一是根据进销不匹配等疑点，辅导锂源科技有限公司缴纳513万元。二是筛查华意化工研发费用加计扣除和成本费用列支不规范等风险点，辅导该企业缴纳所得税较同期增收1098万元，</w:t>
      </w:r>
      <w:r>
        <w:rPr>
          <w:rFonts w:hint="eastAsia" w:ascii="楷体" w:hAnsi="楷体" w:eastAsia="楷体" w:cs="楷体"/>
          <w:color w:val="000000"/>
          <w:sz w:val="32"/>
          <w:szCs w:val="32"/>
          <w:lang w:val="en-US" w:eastAsia="zh-CN"/>
        </w:rPr>
        <w:t>缴纳股息、红利个人所得税400万元</w:t>
      </w:r>
      <w:r>
        <w:rPr>
          <w:rFonts w:hint="eastAsia" w:ascii="楷体" w:hAnsi="楷体" w:eastAsia="楷体" w:cs="楷体"/>
          <w:color w:val="000000"/>
          <w:spacing w:val="2"/>
          <w:sz w:val="32"/>
          <w:szCs w:val="32"/>
          <w:lang w:val="en-US" w:eastAsia="zh-CN"/>
        </w:rPr>
        <w:t>。三是排查房产税、城镇土地使用税辅导该行业缴纳税款304万元。</w:t>
      </w:r>
    </w:p>
    <w:p>
      <w:pPr>
        <w:overflowPunct w:val="0"/>
        <w:adjustRightInd w:val="0"/>
        <w:snapToGrid w:val="0"/>
        <w:spacing w:line="600" w:lineRule="exact"/>
        <w:ind w:firstLine="648"/>
        <w:rPr>
          <w:rFonts w:hint="eastAsia" w:ascii="楷体" w:hAnsi="楷体" w:eastAsia="楷体" w:cs="楷体"/>
          <w:color w:val="000000"/>
          <w:spacing w:val="2"/>
          <w:sz w:val="32"/>
          <w:szCs w:val="32"/>
          <w:lang w:val="en-US" w:eastAsia="zh-CN"/>
        </w:rPr>
      </w:pPr>
      <w:r>
        <w:rPr>
          <w:rFonts w:hint="eastAsia" w:ascii="楷体_GB2312" w:hAnsi="楷体_GB2312" w:eastAsia="楷体_GB2312" w:cs="楷体_GB2312"/>
          <w:sz w:val="32"/>
          <w:szCs w:val="32"/>
          <w:lang w:val="en-US" w:eastAsia="zh-CN"/>
        </w:rPr>
        <w:t>减收原因：</w:t>
      </w:r>
      <w:r>
        <w:rPr>
          <w:rFonts w:hint="eastAsia" w:ascii="楷体" w:hAnsi="楷体" w:eastAsia="楷体" w:cs="楷体"/>
          <w:color w:val="000000"/>
          <w:spacing w:val="2"/>
          <w:sz w:val="32"/>
          <w:szCs w:val="32"/>
          <w:lang w:val="en-US" w:eastAsia="zh-CN"/>
        </w:rPr>
        <w:t>木材加工行4月份入库税收收入1131万元，同比下降86.54%，减收7273万元。主要原因为该行业同期业务不真实，数据虚高，</w:t>
      </w:r>
      <w:r>
        <w:rPr>
          <w:rFonts w:hint="eastAsia" w:ascii="楷体" w:hAnsi="楷体" w:eastAsia="楷体" w:cs="楷体"/>
          <w:color w:val="000000"/>
          <w:kern w:val="0"/>
          <w:sz w:val="32"/>
          <w:szCs w:val="32"/>
        </w:rPr>
        <w:t>部分企业处于停产半停产状态，个别企业长期关停</w:t>
      </w:r>
      <w:r>
        <w:rPr>
          <w:rFonts w:hint="eastAsia" w:ascii="楷体" w:hAnsi="楷体" w:eastAsia="楷体" w:cs="楷体"/>
          <w:color w:val="000000"/>
          <w:spacing w:val="2"/>
          <w:sz w:val="32"/>
          <w:szCs w:val="32"/>
          <w:lang w:val="en-US" w:eastAsia="zh-CN"/>
        </w:rPr>
        <w:t>，下一步将持续深化“以数治税”理念，从源头规范木材加工企业正常生产，尽早帮助该行业步入正轨。</w:t>
      </w:r>
    </w:p>
    <w:p>
      <w:pPr>
        <w:overflowPunct w:val="0"/>
        <w:adjustRightInd w:val="0"/>
        <w:snapToGrid w:val="0"/>
        <w:spacing w:line="600" w:lineRule="exact"/>
        <w:rPr>
          <w:rFonts w:hint="eastAsia" w:ascii="楷体_GB2312" w:hAnsi="楷体_GB2312" w:eastAsia="楷体_GB2312" w:cs="楷体_GB2312"/>
          <w:sz w:val="32"/>
          <w:szCs w:val="32"/>
          <w:lang w:val="en-US" w:eastAsia="zh-CN"/>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财政收入走势预判</w:t>
      </w:r>
    </w:p>
    <w:p>
      <w:pPr>
        <w:tabs>
          <w:tab w:val="left" w:pos="8320"/>
        </w:tabs>
        <w:ind w:right="-53" w:rightChars="-25" w:firstLine="640" w:firstLineChars="200"/>
        <w:rPr>
          <w:rFonts w:hint="eastAsia" w:eastAsia="仿宋"/>
          <w:lang w:eastAsia="zh-CN"/>
        </w:rPr>
      </w:pPr>
      <w:r>
        <w:rPr>
          <w:rFonts w:hint="eastAsia" w:ascii="楷体" w:hAnsi="楷体" w:eastAsia="楷体" w:cs="楷体"/>
          <w:sz w:val="32"/>
          <w:szCs w:val="32"/>
          <w:lang w:val="en-US" w:eastAsia="zh-CN"/>
        </w:rPr>
        <w:t>4</w:t>
      </w:r>
      <w:r>
        <w:rPr>
          <w:rFonts w:hint="eastAsia" w:ascii="楷体" w:hAnsi="楷体" w:eastAsia="楷体" w:cs="楷体"/>
          <w:sz w:val="32"/>
          <w:szCs w:val="32"/>
        </w:rPr>
        <w:t>月份，全县实现地方公共财政预算收入</w:t>
      </w:r>
      <w:r>
        <w:rPr>
          <w:rFonts w:hint="eastAsia" w:ascii="楷体" w:hAnsi="楷体" w:eastAsia="楷体" w:cs="楷体"/>
          <w:sz w:val="32"/>
          <w:szCs w:val="32"/>
          <w:lang w:val="en-US" w:eastAsia="zh-CN"/>
        </w:rPr>
        <w:t>67895</w:t>
      </w:r>
      <w:r>
        <w:rPr>
          <w:rFonts w:hint="eastAsia" w:ascii="楷体" w:hAnsi="楷体" w:eastAsia="楷体" w:cs="楷体"/>
          <w:sz w:val="32"/>
          <w:szCs w:val="32"/>
        </w:rPr>
        <w:t>万元，较上年同期增收</w:t>
      </w:r>
      <w:r>
        <w:rPr>
          <w:rFonts w:hint="eastAsia" w:ascii="楷体" w:hAnsi="楷体" w:eastAsia="楷体" w:cs="楷体"/>
          <w:sz w:val="32"/>
          <w:szCs w:val="32"/>
          <w:lang w:val="en-US" w:eastAsia="zh-CN"/>
        </w:rPr>
        <w:t>11109</w:t>
      </w:r>
      <w:r>
        <w:rPr>
          <w:rFonts w:hint="eastAsia" w:ascii="楷体" w:hAnsi="楷体" w:eastAsia="楷体" w:cs="楷体"/>
          <w:sz w:val="32"/>
          <w:szCs w:val="32"/>
        </w:rPr>
        <w:t>万元，同比增长</w:t>
      </w:r>
      <w:r>
        <w:rPr>
          <w:rFonts w:hint="eastAsia" w:ascii="楷体" w:hAnsi="楷体" w:eastAsia="楷体" w:cs="楷体"/>
          <w:sz w:val="32"/>
          <w:szCs w:val="32"/>
          <w:lang w:val="en-US" w:eastAsia="zh-CN"/>
        </w:rPr>
        <w:t>19.6</w:t>
      </w:r>
      <w:r>
        <w:rPr>
          <w:rFonts w:hint="eastAsia" w:ascii="楷体" w:hAnsi="楷体" w:eastAsia="楷体" w:cs="楷体"/>
          <w:sz w:val="32"/>
          <w:szCs w:val="32"/>
        </w:rPr>
        <w:t>%。</w:t>
      </w:r>
      <w:r>
        <w:rPr>
          <w:rFonts w:hint="eastAsia" w:ascii="楷体_GB2312" w:hAnsi="楷体_GB2312" w:eastAsia="楷体_GB2312" w:cs="楷体_GB2312"/>
          <w:sz w:val="32"/>
          <w:szCs w:val="32"/>
          <w:lang w:val="en-US" w:eastAsia="zh-CN"/>
        </w:rPr>
        <w:t>从当前情况来看，财政收入将继续保持良好势头。</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06E0C"/>
    <w:rsid w:val="65710285"/>
    <w:rsid w:val="7050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djustRightInd/>
      <w:jc w:val="center"/>
      <w:textAlignment w:val="auto"/>
    </w:pPr>
    <w:rPr>
      <w:rFonts w:eastAsia="宋体"/>
      <w:b/>
      <w:kern w:val="2"/>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2025-10-11T02:49:00Z</dcterms:created>
  <dc:creator>我儿走路带风</dc:creator>
  <cp:lastModifiedBy>我儿走路带风</cp:lastModifiedBy>
  <dcterms:modified xsi:type="dcterms:W3CDTF">2025-10-11T02:53:27Z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