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20"/>
        </w:tabs>
        <w:ind w:right="17" w:rightChars="8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eastAsia="楷体_GB2312"/>
          <w:b/>
          <w:kern w:val="2"/>
          <w:sz w:val="44"/>
          <w:szCs w:val="44"/>
        </w:rPr>
        <w:t>鄄城县</w:t>
      </w:r>
      <w:r>
        <w:rPr>
          <w:rFonts w:hint="eastAsia" w:ascii="楷体_GB2312" w:eastAsia="楷体_GB2312"/>
          <w:b/>
          <w:kern w:val="2"/>
          <w:sz w:val="44"/>
          <w:szCs w:val="44"/>
          <w:lang w:val="en-US" w:eastAsia="zh-CN"/>
        </w:rPr>
        <w:t>2025年11</w:t>
      </w:r>
      <w:r>
        <w:rPr>
          <w:rFonts w:hint="eastAsia" w:ascii="楷体_GB2312" w:eastAsia="楷体_GB2312"/>
          <w:b/>
          <w:kern w:val="2"/>
          <w:sz w:val="44"/>
          <w:szCs w:val="44"/>
        </w:rPr>
        <w:t>月份财政</w:t>
      </w:r>
      <w:r>
        <w:rPr>
          <w:rFonts w:hint="eastAsia" w:ascii="楷体_GB2312" w:eastAsia="楷体_GB2312"/>
          <w:b/>
          <w:kern w:val="2"/>
          <w:sz w:val="44"/>
          <w:szCs w:val="44"/>
          <w:lang w:val="en-US" w:eastAsia="zh-CN"/>
        </w:rPr>
        <w:t>收支情况及分析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一、一般公共预算收支情况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月份，全县一般公共预算收入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182623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30031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19.68</w:t>
      </w:r>
      <w:r>
        <w:rPr>
          <w:rFonts w:hint="eastAsia" w:ascii="楷体" w:hAnsi="楷体" w:eastAsia="楷体" w:cs="楷体"/>
          <w:sz w:val="32"/>
          <w:szCs w:val="32"/>
        </w:rPr>
        <w:t>%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月份，全县地方公共财政预算支出累计完成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436658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万元，较上年同期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增长8.9</w:t>
      </w:r>
      <w:r>
        <w:rPr>
          <w:rFonts w:hint="eastAsia" w:ascii="楷体" w:hAnsi="楷体" w:eastAsia="楷体" w:cs="楷体"/>
          <w:kern w:val="2"/>
          <w:sz w:val="32"/>
          <w:szCs w:val="32"/>
        </w:rPr>
        <w:t>%，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增</w:t>
      </w:r>
      <w:r>
        <w:rPr>
          <w:rFonts w:hint="eastAsia" w:ascii="楷体" w:hAnsi="楷体" w:eastAsia="楷体" w:cs="楷体"/>
          <w:kern w:val="2"/>
          <w:sz w:val="32"/>
          <w:szCs w:val="32"/>
        </w:rPr>
        <w:t>支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35777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</w:t>
      </w:r>
      <w:r>
        <w:rPr>
          <w:rFonts w:hint="eastAsia" w:ascii="楷体" w:hAnsi="楷体" w:eastAsia="楷体" w:cs="楷体"/>
          <w:kern w:val="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</w:rPr>
        <w:t>其中，民生保障类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支出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374302</w:t>
      </w:r>
      <w:r>
        <w:rPr>
          <w:rFonts w:hint="eastAsia" w:ascii="楷体" w:hAnsi="楷体" w:eastAsia="楷体" w:cs="楷体"/>
          <w:kern w:val="2"/>
          <w:sz w:val="32"/>
          <w:szCs w:val="32"/>
        </w:rPr>
        <w:t>万元，占公共预算支出的比重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/>
        </w:rPr>
        <w:t>86</w:t>
      </w:r>
      <w:r>
        <w:rPr>
          <w:rFonts w:hint="eastAsia" w:ascii="楷体" w:hAnsi="楷体" w:eastAsia="楷体" w:cs="楷体"/>
          <w:kern w:val="2"/>
          <w:sz w:val="32"/>
          <w:szCs w:val="32"/>
        </w:rPr>
        <w:t>%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sz w:val="32"/>
          <w:szCs w:val="32"/>
        </w:rPr>
        <w:t>财政收支分析及增减变化原因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增收原因：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1-11月份化工行业入库税收收入17147万元，同比增长85.17%，增收7887万元。主要原因：一是根据进销不匹配、研发费用加计扣除，成本费用列支不规范等风险点，辅导企业缴纳1757万元。二是经筛查华意化工、沃蓝生物存在未分配利润，辅导企业进行股东分红，缴纳个税2603万元。三是申请免抵调库指标，增加化工税收3783万元，较同期增加1716万元。四是对重点企业企业所得税预缴加强管理，辅导华意化工预缴1838万元。五是部分化工企业排污设施不达标，因环保查处减产影响约600万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减收原因：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1-11月份木材加工行业入库税收收入2261万元，同比下降83.45%，减收11401万元。主要原因为该行业同期业务不真实，数据虚高，已从源头规范木材加工企业正常生产，帮助该行业步入正轨，下一步将持续深化“以数治税”理念，防范企业涉税风险。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sz w:val="32"/>
          <w:szCs w:val="32"/>
        </w:rPr>
        <w:t>财政收入走势预判</w:t>
      </w:r>
    </w:p>
    <w:p>
      <w:pPr>
        <w:tabs>
          <w:tab w:val="left" w:pos="8320"/>
        </w:tabs>
        <w:ind w:right="-53" w:rightChars="-25" w:firstLine="640" w:firstLineChars="200"/>
        <w:rPr>
          <w:rFonts w:hint="eastAsia" w:eastAsia="仿宋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 w:cs="楷体"/>
          <w:sz w:val="32"/>
          <w:szCs w:val="32"/>
        </w:rPr>
        <w:t>月份，全县实现地方公共财政预算收入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182623</w:t>
      </w:r>
      <w:r>
        <w:rPr>
          <w:rFonts w:hint="eastAsia" w:ascii="楷体" w:hAnsi="楷体" w:eastAsia="楷体" w:cs="楷体"/>
          <w:sz w:val="32"/>
          <w:szCs w:val="32"/>
        </w:rPr>
        <w:t>万元，较上年同期增收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30031</w:t>
      </w:r>
      <w:r>
        <w:rPr>
          <w:rFonts w:hint="eastAsia" w:ascii="楷体" w:hAnsi="楷体" w:eastAsia="楷体" w:cs="楷体"/>
          <w:sz w:val="32"/>
          <w:szCs w:val="32"/>
        </w:rPr>
        <w:t>万元，同比增长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19.68</w:t>
      </w:r>
      <w:r>
        <w:rPr>
          <w:rFonts w:hint="eastAsia" w:ascii="楷体" w:hAnsi="楷体" w:eastAsia="楷体" w:cs="楷体"/>
          <w:sz w:val="32"/>
          <w:szCs w:val="32"/>
        </w:rPr>
        <w:t>%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从当前情况来看，财政收入将继续保持良好势头。</w:t>
      </w:r>
    </w:p>
    <w:p/>
    <w:p/>
    <w:p/>
    <w:p/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71E80"/>
    <w:rsid w:val="19867FB3"/>
    <w:rsid w:val="3F671E80"/>
    <w:rsid w:val="47D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/>
      <w:jc w:val="center"/>
      <w:textAlignment w:val="auto"/>
    </w:pPr>
    <w:rPr>
      <w:rFonts w:eastAsia="宋体"/>
      <w:b/>
      <w:kern w:val="2"/>
      <w:sz w:val="36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2025-12-24T09:10:00Z</dcterms:created>
  <dc:creator>我儿走路带风</dc:creator>
  <cp:lastModifiedBy>我儿走路带风</cp:lastModifiedBy>
  <dcterms:modified xsi:type="dcterms:W3CDTF">2025-12-24T09:27:39Z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