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D35BA">
      <w:pPr>
        <w:tabs>
          <w:tab w:val="left" w:pos="8320"/>
        </w:tabs>
        <w:ind w:right="17" w:rightChars="8"/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</w:pPr>
      <w:r>
        <w:rPr>
          <w:rFonts w:hint="eastAsia" w:ascii="楷体_GB2312" w:eastAsia="楷体_GB2312"/>
          <w:b/>
          <w:kern w:val="2"/>
          <w:sz w:val="44"/>
          <w:szCs w:val="44"/>
        </w:rPr>
        <w:t>鄄城县</w:t>
      </w:r>
      <w:r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  <w:t>2026年6</w:t>
      </w:r>
      <w:r>
        <w:rPr>
          <w:rFonts w:hint="eastAsia" w:ascii="楷体_GB2312" w:eastAsia="楷体_GB2312"/>
          <w:b/>
          <w:kern w:val="2"/>
          <w:sz w:val="44"/>
          <w:szCs w:val="44"/>
        </w:rPr>
        <w:t>月份财政</w:t>
      </w:r>
      <w:r>
        <w:rPr>
          <w:rFonts w:hint="eastAsia" w:ascii="楷体_GB2312" w:eastAsia="楷体_GB2312"/>
          <w:b/>
          <w:kern w:val="2"/>
          <w:sz w:val="44"/>
          <w:szCs w:val="44"/>
          <w:lang w:val="en-US" w:eastAsia="zh-CN"/>
        </w:rPr>
        <w:t>收支情况及分析</w:t>
      </w:r>
    </w:p>
    <w:p w14:paraId="40E702DA">
      <w:pPr>
        <w:pStyle w:val="2"/>
        <w:rPr>
          <w:rFonts w:hint="eastAsia"/>
        </w:rPr>
      </w:pPr>
    </w:p>
    <w:p w14:paraId="5968073F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一、一般公共预算收支情况</w:t>
      </w:r>
    </w:p>
    <w:p w14:paraId="69B7819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月份，全县实现地方公共财政预算收入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116700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万元，较上年同期增收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5051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万元，同比增长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4.9</w:t>
      </w:r>
      <w:r>
        <w:rPr>
          <w:rFonts w:hint="eastAsia" w:ascii="楷体_GB2312" w:hAnsi="楷体_GB2312" w:eastAsia="楷体_GB2312" w:cs="楷体_GB2312"/>
          <w:sz w:val="32"/>
          <w:szCs w:val="32"/>
        </w:rPr>
        <w:t>%。</w:t>
      </w:r>
    </w:p>
    <w:p w14:paraId="18BB1D6C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</w:t>
      </w:r>
      <w:r>
        <w:rPr>
          <w:rFonts w:hint="eastAsia" w:ascii="楷体_GB2312" w:hAnsi="楷体_GB2312" w:eastAsia="楷体_GB2312" w:cs="楷体_GB2312"/>
          <w:sz w:val="32"/>
          <w:szCs w:val="32"/>
        </w:rPr>
        <w:t>月份，全县地方公共财政预算支出累计完成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243447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万元，较上年同期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下降5.2</w:t>
      </w:r>
      <w:r>
        <w:rPr>
          <w:rFonts w:hint="eastAsia" w:ascii="楷体_GB2312" w:hAnsi="楷体_GB2312" w:eastAsia="楷体_GB2312" w:cs="楷体_GB2312"/>
          <w:sz w:val="32"/>
          <w:szCs w:val="32"/>
        </w:rPr>
        <w:t>%，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减</w:t>
      </w:r>
      <w:r>
        <w:rPr>
          <w:rFonts w:hint="eastAsia" w:ascii="楷体_GB2312" w:hAnsi="楷体_GB2312" w:eastAsia="楷体_GB2312" w:cs="楷体_GB2312"/>
          <w:sz w:val="32"/>
          <w:szCs w:val="32"/>
        </w:rPr>
        <w:t>支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13333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</w:t>
      </w: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，</w:t>
      </w:r>
      <w:r>
        <w:rPr>
          <w:rFonts w:hint="eastAsia" w:ascii="楷体_GB2312" w:hAnsi="楷体_GB2312" w:eastAsia="楷体_GB2312" w:cs="楷体_GB2312"/>
          <w:sz w:val="32"/>
          <w:szCs w:val="32"/>
        </w:rPr>
        <w:t>其中，民生保障类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支出206799</w:t>
      </w:r>
      <w:r>
        <w:rPr>
          <w:rFonts w:hint="eastAsia" w:ascii="楷体_GB2312" w:hAnsi="楷体_GB2312" w:eastAsia="楷体_GB2312" w:cs="楷体_GB2312"/>
          <w:sz w:val="32"/>
          <w:szCs w:val="32"/>
        </w:rPr>
        <w:t>万元，占公共预算支出的比重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85</w:t>
      </w:r>
      <w:r>
        <w:rPr>
          <w:rFonts w:hint="eastAsia" w:ascii="楷体_GB2312" w:hAnsi="楷体_GB2312" w:eastAsia="楷体_GB2312" w:cs="楷体_GB2312"/>
          <w:sz w:val="32"/>
          <w:szCs w:val="32"/>
        </w:rPr>
        <w:t>%</w:t>
      </w:r>
      <w:r>
        <w:rPr>
          <w:rFonts w:hint="eastAsia" w:ascii="楷体_GB2312" w:hAnsi="楷体_GB2312" w:eastAsia="楷体_GB2312" w:cs="楷体_GB2312"/>
          <w:sz w:val="32"/>
          <w:szCs w:val="32"/>
        </w:rPr>
        <w:t>。</w:t>
      </w:r>
    </w:p>
    <w:p w14:paraId="6820A34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二、</w:t>
      </w:r>
      <w:r>
        <w:rPr>
          <w:rFonts w:hint="eastAsia" w:ascii="楷体_GB2312" w:hAnsi="楷体_GB2312" w:eastAsia="楷体_GB2312" w:cs="楷体_GB2312"/>
          <w:sz w:val="32"/>
          <w:szCs w:val="32"/>
        </w:rPr>
        <w:t>财政收支分析及增减变化原因</w:t>
      </w:r>
    </w:p>
    <w:p w14:paraId="5AECA396">
      <w:pPr>
        <w:ind w:firstLine="640" w:firstLineChars="200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增收原因：发制品完成13511万元，增长11.43%，增收1386万元，木材加工行业完成1869万元，增长37.02%，增收505万元。建筑业完成13267万元，增长105.98%，增收6826万元。商务服务业完成10220万元，增长367.73%，增收8035万元。</w:t>
      </w:r>
    </w:p>
    <w:p w14:paraId="4C802F58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减收原因：化工行业完成8504万元，下降24.16%，减收2709万元，主要因免抵调库及企业利润下滑影响，华意化工、沃蓝生物分别减收2460万元、854万元。医药行业完成1539万元，下降42.87%，减收1155万元，主要因阳成生物、舜生堂中药饮片、兴华中药饮片等重点企业减收影响。房地产业完成7004万元，下降57.92%，减收9641万元，一是一次性因素影响，同期恒源转让给恒育房产涉及税收1895万元。二是清理欠税影响，本期清理润百家房地产开发欠税1000万元，同期清理恒源城市开发、银源城市开发欠税2572万元，相比减少1572万元。</w:t>
      </w:r>
    </w:p>
    <w:p w14:paraId="71CE8408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三、财政收入走势预判</w:t>
      </w:r>
    </w:p>
    <w:p w14:paraId="689719C5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6月份，全县实现地方公共财政预算收入116700万元，较上年同期增收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5051万元，同比增长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4.9%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。从当前情况来看，财政收入将继续保持良好势头。</w:t>
      </w:r>
    </w:p>
    <w:p w14:paraId="04245FB1">
      <w:pPr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</w:p>
    <w:p w14:paraId="434EBF00"/>
    <w:p w14:paraId="56CF79BC">
      <w:bookmarkStart w:id="0" w:name="_GoBack"/>
      <w:bookmarkEnd w:id="0"/>
    </w:p>
    <w:p w14:paraId="58435624"/>
    <w:p w14:paraId="57243B16"/>
    <w:p w14:paraId="23572932"/>
    <w:p w14:paraId="1643BA18"/>
    <w:p w14:paraId="2F2790BE"/>
    <w:p w14:paraId="58CADE51"/>
    <w:p w14:paraId="0DD4DDAA"/>
    <w:p w14:paraId="3D11FC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4YmE0YWJiNTNlYzg3NmY4Mzk3OGUyNzMxODUyOTEifQ=="/>
  </w:docVars>
  <w:rsids>
    <w:rsidRoot w:val="78692A55"/>
    <w:rsid w:val="0D5279EB"/>
    <w:rsid w:val="7869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djustRightInd/>
      <w:jc w:val="center"/>
      <w:textAlignment w:val="auto"/>
    </w:pPr>
    <w:rPr>
      <w:rFonts w:eastAsia="宋体"/>
      <w:b/>
      <w:kern w:val="2"/>
      <w:sz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2026-07-14T03:18:00Z</dcterms:created>
  <dc:creator></dc:creator>
  <cp:lastModifiedBy></cp:lastModifiedBy>
  <dcterms:modified xsi:type="dcterms:W3CDTF">2026-07-14T07:27:43Z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0944DF90BCBA4E9E8138910CF6E76022_11</vt:lpwstr>
  </property>
</Properties>
</file>