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95777">
      <w:pPr>
        <w:keepNext w:val="0"/>
        <w:keepLines w:val="0"/>
        <w:widowControl/>
        <w:suppressLineNumbers w:val="0"/>
        <w:jc w:val="center"/>
        <w:rPr>
          <w:rFonts w:ascii="仿宋_GB2312" w:hAnsi="宋体" w:eastAsia="仿宋_GB2312" w:cs="仿宋_GB2312"/>
          <w:b/>
          <w:color w:val="auto"/>
          <w:kern w:val="0"/>
          <w:sz w:val="43"/>
          <w:szCs w:val="43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color w:val="auto"/>
          <w:kern w:val="0"/>
          <w:sz w:val="43"/>
          <w:szCs w:val="43"/>
          <w:lang w:val="en-US" w:eastAsia="zh-CN" w:bidi="ar"/>
        </w:rPr>
        <w:t>2025年鄄</w:t>
      </w:r>
      <w:bookmarkStart w:id="0" w:name="_GoBack"/>
      <w:bookmarkEnd w:id="0"/>
      <w:r>
        <w:rPr>
          <w:rFonts w:hint="eastAsia" w:ascii="仿宋_GB2312" w:hAnsi="宋体" w:eastAsia="仿宋_GB2312" w:cs="仿宋_GB2312"/>
          <w:b/>
          <w:color w:val="auto"/>
          <w:kern w:val="0"/>
          <w:sz w:val="43"/>
          <w:szCs w:val="43"/>
          <w:lang w:val="en-US" w:eastAsia="zh-CN" w:bidi="ar"/>
        </w:rPr>
        <w:t>城县</w:t>
      </w:r>
      <w:r>
        <w:rPr>
          <w:rFonts w:ascii="仿宋_GB2312" w:hAnsi="宋体" w:eastAsia="仿宋_GB2312" w:cs="仿宋_GB2312"/>
          <w:b/>
          <w:color w:val="auto"/>
          <w:kern w:val="0"/>
          <w:sz w:val="43"/>
          <w:szCs w:val="43"/>
          <w:lang w:val="en-US" w:eastAsia="zh-CN" w:bidi="ar"/>
        </w:rPr>
        <w:t>举借债务说明</w:t>
      </w:r>
    </w:p>
    <w:p w14:paraId="4C8DEC61">
      <w:pPr>
        <w:keepNext w:val="0"/>
        <w:keepLines w:val="0"/>
        <w:widowControl/>
        <w:suppressLineNumbers w:val="0"/>
        <w:jc w:val="center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 w:bidi="ar"/>
        </w:rPr>
      </w:pPr>
    </w:p>
    <w:p w14:paraId="4CDCA224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2025年,我县地方政府债务余额限额为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160.59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亿元，其中：一般债务限额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7.73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亿元，专项债务限额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152.86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亿元。 </w:t>
      </w:r>
    </w:p>
    <w:p w14:paraId="07F0E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2025年年初债务金额为125.3亿元，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截至2025年底，我县政府债务余额151.2亿元，其中：一般债务余额7.53亿元、专项债务余额143.67亿元，在省核定限额以内，债务风险总体可控。</w:t>
      </w:r>
    </w:p>
    <w:p w14:paraId="6038F684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按照新预算法和中央有关政策要求，我县财政已将政府债务收支全面纳入预算管理，严格履行预算调整审批程序，突出安排重点，强化资金监管，很好地发挥了政府债券资金的使用效益。在新增债券使用方面,严格按照财政部要求和县委、县政府确定的重点投资方向，全部用于公益性资本支出，重点加大对改善民生和经济结构调整的支持力度，优先用于重点民生项目和在建公益性项目后续融资。</w:t>
      </w:r>
    </w:p>
    <w:p w14:paraId="1E5BF67D"/>
    <w:p w14:paraId="53DE3F8D"/>
    <w:p w14:paraId="50DB2ED0"/>
    <w:p w14:paraId="01F8C5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zNjhjZjkxMjg2OGJjOTQ0NThhNzBhOGI4YTVmYWYifQ=="/>
  </w:docVars>
  <w:rsids>
    <w:rsidRoot w:val="4D2751E8"/>
    <w:rsid w:val="14503CE0"/>
    <w:rsid w:val="4D2751E8"/>
    <w:rsid w:val="6C18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2026-10-26T07:50:00Z</dcterms:created>
  <dc:creator></dc:creator>
  <cp:lastModifiedBy></cp:lastModifiedBy>
  <dcterms:modified xsi:type="dcterms:W3CDTF">2026-10-26T08:03:20Z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6F775E8B05014DF89EEB2B0B9BDE8934_11</vt:lpwstr>
  </property>
</Properties>
</file>