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鄄城县人民政府关于公布第四批县级非物质文化遗产代表性项目名录和县级非物质文化遗产代表性扩展项目名录的通知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鄄城县人民政府关于公布第四批县级非物质文化遗产代表性项目名录和县级非物质文化遗产代表性扩展项目名录的通知鄄政字〔2023〕2号各镇人民政府、街道办事处，县经济开发区，中药材产业园管委会，县政府各部门：为进一步做好非物质文化遗产保护工作，根据《中华人民共和国非物质文化遗产法》《山东省非物质文化遗产条例》和省、市关于做好非物质文化遗产保护工作的要求，我县对第四批县级非物质文化遗产代表性项目名录（共计6项）、县级非物质文化遗产代表性扩展项目名录（共计1项）进行筛选审核论证。各镇人民政府、街道办事处、县政府有关部门要认真贯彻落实“保护为主、抢救第一、合理利用、传承发展”的工作方针，认真做好非物质文化遗产代表性项目的保护、传承和管理工作。 附件：1、鄄城县第四批县级非物质文化遗产代表性项目名录；          2、鄄城县县级非物质文化遗产代表性扩展项目名录。 鄄城县人民政府2023年4月17日附件1鄄城县第四批县级非物质文化遗产代表性项目名录 一、传统技艺类（3）项项目编号项目类别项目名称申报单位Ⅷ-1传统技艺鄄城辣椒面糊制作技艺鄄城县文化馆Ⅷ-2传统技艺传统糕点制作技艺山东晨雨糖业有限公司Ⅷ-3传统技艺金石传拓技艺鄄城县文化馆二、传统美术类（2）项项目编号项目类别项目名称申报单位Ⅶ-1传统美术鄄城面塑鄄城县文化馆Ⅶ-2传统美术鄄城吹糖人鄄城县阎什镇新时代文明实践中心三、传统医药类（1）项项目编号项目类别项目名称申报单位Ⅸ-1传统医药于氏疼痛二联疗法鄄城县陈王街道办事处新时代文明实践中心 附件2鄄城县县级非物质文化遗产代表性扩展项目名录 传统技艺类（1）项项目编号项目类别项目名称申报单位Ⅷ-4传统技艺 鄄城烧牛肉制作技艺扩展项目（临濮于家牛肉制作技艺）鄄城县临濮镇新时代文明实践中心</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鄄城县人民政府</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2023年04月17日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